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3A7" w:rsidRPr="006F7C1F" w:rsidRDefault="006F7C1F" w:rsidP="006F7C1F">
      <w:pPr>
        <w:jc w:val="both"/>
        <w:rPr>
          <w:b/>
          <w:lang w:val="en-GB"/>
        </w:rPr>
      </w:pPr>
      <w:r w:rsidRPr="006F7C1F">
        <w:rPr>
          <w:b/>
          <w:lang w:val="en-GB"/>
        </w:rPr>
        <w:t>CIVIL SOCIETY</w:t>
      </w:r>
    </w:p>
    <w:p w:rsidR="005103A7" w:rsidRPr="006F7C1F" w:rsidRDefault="005103A7" w:rsidP="006F7C1F">
      <w:pPr>
        <w:jc w:val="both"/>
        <w:rPr>
          <w:lang w:val="en-GB"/>
        </w:rPr>
      </w:pPr>
    </w:p>
    <w:p w:rsidR="005103A7" w:rsidRPr="006F7C1F" w:rsidRDefault="005103A7" w:rsidP="006F7C1F">
      <w:pPr>
        <w:jc w:val="both"/>
        <w:rPr>
          <w:b/>
          <w:lang w:val="en-GB"/>
        </w:rPr>
      </w:pPr>
    </w:p>
    <w:p w:rsidR="005103A7" w:rsidRPr="006F7C1F" w:rsidRDefault="005103A7" w:rsidP="006F7C1F">
      <w:pPr>
        <w:jc w:val="both"/>
        <w:rPr>
          <w:b/>
          <w:lang w:val="en-GB"/>
        </w:rPr>
      </w:pPr>
      <w:r w:rsidRPr="006F7C1F">
        <w:rPr>
          <w:b/>
          <w:lang w:val="en-GB"/>
        </w:rPr>
        <w:t>Summary</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The assessment finds that the existing legal framework does not put up any hurdles for the registration and operation of CSOs. In practice, however, Georgian Civil Society Organizations (CSOs) rely almost entirely on foreign donors</w:t>
      </w:r>
      <w:r w:rsidR="00D857D7" w:rsidRPr="006F7C1F">
        <w:rPr>
          <w:lang w:val="en-GB"/>
        </w:rPr>
        <w:t>, lacking financial support</w:t>
      </w:r>
      <w:r w:rsidRPr="006F7C1F">
        <w:rPr>
          <w:lang w:val="en-GB"/>
        </w:rPr>
        <w:t xml:space="preserve"> from the government,</w:t>
      </w:r>
      <w:r w:rsidR="00D857D7" w:rsidRPr="006F7C1F">
        <w:rPr>
          <w:lang w:val="en-GB"/>
        </w:rPr>
        <w:t xml:space="preserve"> </w:t>
      </w:r>
      <w:r w:rsidRPr="006F7C1F">
        <w:rPr>
          <w:lang w:val="en-GB"/>
        </w:rPr>
        <w:t>local businesses or a membership base. The mechanisms for ensuring accountability of CSOs and their transparent operation are weak, and integrity mechanisms (such as a sector-wide code of conduct) are virtually nonexistent. The ability of CSOs to hold the government accountable and to influence the formulation of its policies is severely constrained by internal</w:t>
      </w:r>
      <w:r w:rsidR="00D857D7" w:rsidRPr="006F7C1F">
        <w:rPr>
          <w:lang w:val="en-GB"/>
        </w:rPr>
        <w:t xml:space="preserve"> </w:t>
      </w:r>
      <w:r w:rsidRPr="006F7C1F">
        <w:rPr>
          <w:lang w:val="en-GB"/>
        </w:rPr>
        <w:t>weaknesses, including a shortage of capable professionals and lack of a broad social base, as well as the general political environment in which they operate.</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The table below presents the indicator scores which summarize the assessment of the civil society in terms of its capacity, its internal governance and its role within the Georgian integrity system.</w:t>
      </w:r>
      <w:r w:rsidR="00D857D7" w:rsidRPr="006F7C1F">
        <w:rPr>
          <w:lang w:val="en-GB"/>
        </w:rPr>
        <w:t xml:space="preserve"> </w:t>
      </w:r>
      <w:r w:rsidRPr="006F7C1F">
        <w:rPr>
          <w:lang w:val="en-GB"/>
        </w:rPr>
        <w:t>The remainder of this section presents the qualitative assessment for each indicator.</w:t>
      </w:r>
    </w:p>
    <w:p w:rsidR="005103A7" w:rsidRPr="006F7C1F" w:rsidRDefault="005103A7">
      <w:pPr>
        <w:rPr>
          <w:lang w:val="en-GB"/>
        </w:rPr>
      </w:pPr>
    </w:p>
    <w:p w:rsidR="005103A7" w:rsidRPr="006F7C1F" w:rsidRDefault="005103A7">
      <w:pPr>
        <w:rPr>
          <w:lang w:val="en-GB"/>
        </w:rPr>
      </w:pPr>
    </w:p>
    <w:p w:rsidR="005103A7" w:rsidRPr="006F7C1F" w:rsidRDefault="005103A7">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9"/>
        <w:gridCol w:w="4936"/>
        <w:gridCol w:w="881"/>
        <w:gridCol w:w="79"/>
        <w:gridCol w:w="977"/>
      </w:tblGrid>
      <w:tr w:rsidR="005103A7" w:rsidRPr="006F7C1F">
        <w:tc>
          <w:tcPr>
            <w:tcW w:w="9571" w:type="dxa"/>
            <w:gridSpan w:val="5"/>
            <w:shd w:val="clear" w:color="auto" w:fill="E0E0E0"/>
          </w:tcPr>
          <w:p w:rsidR="005103A7" w:rsidRPr="006F7C1F" w:rsidRDefault="005103A7" w:rsidP="005103A7">
            <w:pPr>
              <w:jc w:val="center"/>
              <w:rPr>
                <w:b/>
                <w:lang w:val="en-GB"/>
              </w:rPr>
            </w:pPr>
            <w:r w:rsidRPr="006F7C1F">
              <w:rPr>
                <w:b/>
                <w:lang w:val="en-GB"/>
              </w:rPr>
              <w:t>Civil Society</w:t>
            </w:r>
          </w:p>
          <w:p w:rsidR="005103A7" w:rsidRPr="006F7C1F" w:rsidRDefault="005103A7" w:rsidP="006F7C1F">
            <w:pPr>
              <w:jc w:val="center"/>
              <w:rPr>
                <w:lang w:val="en-GB"/>
              </w:rPr>
            </w:pPr>
            <w:r w:rsidRPr="006F7C1F">
              <w:rPr>
                <w:b/>
                <w:lang w:val="en-GB"/>
              </w:rPr>
              <w:t xml:space="preserve">Overall Pillar Score: </w:t>
            </w:r>
            <w:r w:rsidR="006F7C1F" w:rsidRPr="006F7C1F">
              <w:rPr>
                <w:b/>
                <w:lang w:val="en-GB"/>
              </w:rPr>
              <w:t>40/100</w:t>
            </w:r>
          </w:p>
        </w:tc>
      </w:tr>
      <w:tr w:rsidR="005103A7" w:rsidRPr="006F7C1F">
        <w:trPr>
          <w:trHeight w:val="546"/>
        </w:trPr>
        <w:tc>
          <w:tcPr>
            <w:tcW w:w="2437" w:type="dxa"/>
            <w:shd w:val="clear" w:color="auto" w:fill="999999"/>
          </w:tcPr>
          <w:p w:rsidR="005103A7" w:rsidRPr="006F7C1F" w:rsidRDefault="005103A7" w:rsidP="005103A7">
            <w:pPr>
              <w:rPr>
                <w:b/>
                <w:lang w:val="en-GB"/>
              </w:rPr>
            </w:pPr>
            <w:r w:rsidRPr="006F7C1F">
              <w:rPr>
                <w:b/>
                <w:lang w:val="en-GB"/>
              </w:rPr>
              <w:t>Dimension</w:t>
            </w:r>
          </w:p>
        </w:tc>
        <w:tc>
          <w:tcPr>
            <w:tcW w:w="5181" w:type="dxa"/>
            <w:shd w:val="clear" w:color="auto" w:fill="999999"/>
          </w:tcPr>
          <w:p w:rsidR="005103A7" w:rsidRPr="006F7C1F" w:rsidRDefault="005103A7" w:rsidP="005103A7">
            <w:pPr>
              <w:rPr>
                <w:b/>
                <w:lang w:val="en-GB"/>
              </w:rPr>
            </w:pPr>
            <w:r w:rsidRPr="006F7C1F">
              <w:rPr>
                <w:b/>
                <w:lang w:val="en-GB"/>
              </w:rPr>
              <w:t>Indicator</w:t>
            </w:r>
          </w:p>
        </w:tc>
        <w:tc>
          <w:tcPr>
            <w:tcW w:w="897" w:type="dxa"/>
            <w:shd w:val="clear" w:color="auto" w:fill="999999"/>
          </w:tcPr>
          <w:p w:rsidR="005103A7" w:rsidRPr="006F7C1F" w:rsidRDefault="005103A7" w:rsidP="005103A7">
            <w:pPr>
              <w:rPr>
                <w:b/>
                <w:lang w:val="en-GB"/>
              </w:rPr>
            </w:pPr>
            <w:r w:rsidRPr="006F7C1F">
              <w:rPr>
                <w:b/>
                <w:lang w:val="en-GB"/>
              </w:rPr>
              <w:t>Law</w:t>
            </w:r>
          </w:p>
        </w:tc>
        <w:tc>
          <w:tcPr>
            <w:tcW w:w="1056" w:type="dxa"/>
            <w:gridSpan w:val="2"/>
            <w:shd w:val="clear" w:color="auto" w:fill="999999"/>
          </w:tcPr>
          <w:p w:rsidR="005103A7" w:rsidRPr="006F7C1F" w:rsidRDefault="005103A7" w:rsidP="005103A7">
            <w:pPr>
              <w:rPr>
                <w:b/>
                <w:lang w:val="en-GB"/>
              </w:rPr>
            </w:pPr>
            <w:r w:rsidRPr="006F7C1F">
              <w:rPr>
                <w:b/>
                <w:lang w:val="en-GB"/>
              </w:rPr>
              <w:t>Practice</w:t>
            </w:r>
          </w:p>
        </w:tc>
      </w:tr>
      <w:tr w:rsidR="005103A7" w:rsidRPr="006F7C1F" w:rsidTr="006F7C1F">
        <w:tc>
          <w:tcPr>
            <w:tcW w:w="2437" w:type="dxa"/>
            <w:vMerge w:val="restart"/>
            <w:shd w:val="clear" w:color="auto" w:fill="E0E0E0"/>
          </w:tcPr>
          <w:p w:rsidR="005103A7" w:rsidRPr="006F7C1F" w:rsidRDefault="005103A7" w:rsidP="005103A7">
            <w:pPr>
              <w:rPr>
                <w:lang w:val="en-GB"/>
              </w:rPr>
            </w:pPr>
          </w:p>
          <w:p w:rsidR="005103A7" w:rsidRPr="006F7C1F" w:rsidRDefault="005103A7" w:rsidP="005103A7">
            <w:pPr>
              <w:rPr>
                <w:lang w:val="en-GB"/>
              </w:rPr>
            </w:pPr>
          </w:p>
          <w:p w:rsidR="005103A7" w:rsidRPr="006F7C1F" w:rsidRDefault="005103A7" w:rsidP="005103A7">
            <w:pPr>
              <w:rPr>
                <w:b/>
                <w:lang w:val="en-GB"/>
              </w:rPr>
            </w:pPr>
            <w:r w:rsidRPr="006F7C1F">
              <w:rPr>
                <w:b/>
                <w:lang w:val="en-GB"/>
              </w:rPr>
              <w:t>Capacity</w:t>
            </w:r>
          </w:p>
          <w:p w:rsidR="005103A7" w:rsidRPr="006F7C1F" w:rsidRDefault="006F7C1F" w:rsidP="005103A7">
            <w:pPr>
              <w:rPr>
                <w:lang w:val="en-GB"/>
              </w:rPr>
            </w:pPr>
            <w:r w:rsidRPr="006F7C1F">
              <w:rPr>
                <w:lang w:val="en-GB"/>
              </w:rPr>
              <w:t>63/10</w:t>
            </w:r>
          </w:p>
        </w:tc>
        <w:tc>
          <w:tcPr>
            <w:tcW w:w="5181" w:type="dxa"/>
            <w:shd w:val="clear" w:color="auto" w:fill="E0E0E0"/>
          </w:tcPr>
          <w:p w:rsidR="005103A7" w:rsidRPr="006F7C1F" w:rsidRDefault="005103A7" w:rsidP="005103A7">
            <w:pPr>
              <w:rPr>
                <w:lang w:val="en-GB"/>
              </w:rPr>
            </w:pPr>
          </w:p>
          <w:p w:rsidR="005103A7" w:rsidRPr="006F7C1F" w:rsidRDefault="005103A7" w:rsidP="005103A7">
            <w:pPr>
              <w:rPr>
                <w:lang w:val="en-GB"/>
              </w:rPr>
            </w:pPr>
            <w:r w:rsidRPr="006F7C1F">
              <w:rPr>
                <w:lang w:val="en-GB"/>
              </w:rPr>
              <w:t>Resources</w:t>
            </w:r>
          </w:p>
          <w:p w:rsidR="005103A7" w:rsidRPr="006F7C1F" w:rsidRDefault="005103A7" w:rsidP="005103A7">
            <w:pPr>
              <w:rPr>
                <w:lang w:val="en-GB"/>
              </w:rPr>
            </w:pPr>
          </w:p>
        </w:tc>
        <w:tc>
          <w:tcPr>
            <w:tcW w:w="897" w:type="dxa"/>
            <w:shd w:val="clear" w:color="auto" w:fill="E0E0E0"/>
            <w:vAlign w:val="center"/>
          </w:tcPr>
          <w:p w:rsidR="005103A7" w:rsidRPr="006F7C1F" w:rsidRDefault="006F7C1F" w:rsidP="006F7C1F">
            <w:pPr>
              <w:jc w:val="center"/>
              <w:rPr>
                <w:lang w:val="en-GB"/>
              </w:rPr>
            </w:pPr>
            <w:r w:rsidRPr="006F7C1F">
              <w:rPr>
                <w:lang w:val="en-GB"/>
              </w:rPr>
              <w:t>75</w:t>
            </w:r>
          </w:p>
        </w:tc>
        <w:tc>
          <w:tcPr>
            <w:tcW w:w="1056" w:type="dxa"/>
            <w:gridSpan w:val="2"/>
            <w:shd w:val="clear" w:color="auto" w:fill="E0E0E0"/>
            <w:vAlign w:val="center"/>
          </w:tcPr>
          <w:p w:rsidR="005103A7" w:rsidRPr="006F7C1F" w:rsidRDefault="006F7C1F" w:rsidP="006F7C1F">
            <w:pPr>
              <w:jc w:val="center"/>
              <w:rPr>
                <w:lang w:val="en-GB"/>
              </w:rPr>
            </w:pPr>
            <w:r w:rsidRPr="006F7C1F">
              <w:rPr>
                <w:lang w:val="en-GB"/>
              </w:rPr>
              <w:t>25</w:t>
            </w:r>
          </w:p>
        </w:tc>
      </w:tr>
      <w:tr w:rsidR="005103A7" w:rsidRPr="006F7C1F" w:rsidTr="006F7C1F">
        <w:tc>
          <w:tcPr>
            <w:tcW w:w="2437" w:type="dxa"/>
            <w:vMerge/>
            <w:shd w:val="clear" w:color="auto" w:fill="E0E0E0"/>
          </w:tcPr>
          <w:p w:rsidR="005103A7" w:rsidRPr="006F7C1F" w:rsidRDefault="005103A7" w:rsidP="005103A7">
            <w:pPr>
              <w:rPr>
                <w:lang w:val="en-GB"/>
              </w:rPr>
            </w:pPr>
          </w:p>
        </w:tc>
        <w:tc>
          <w:tcPr>
            <w:tcW w:w="5181" w:type="dxa"/>
            <w:shd w:val="clear" w:color="auto" w:fill="E0E0E0"/>
          </w:tcPr>
          <w:p w:rsidR="005103A7" w:rsidRPr="006F7C1F" w:rsidRDefault="005103A7" w:rsidP="005103A7">
            <w:pPr>
              <w:rPr>
                <w:lang w:val="en-GB"/>
              </w:rPr>
            </w:pPr>
          </w:p>
          <w:p w:rsidR="005103A7" w:rsidRPr="006F7C1F" w:rsidRDefault="005103A7" w:rsidP="005103A7">
            <w:pPr>
              <w:rPr>
                <w:lang w:val="en-GB"/>
              </w:rPr>
            </w:pPr>
            <w:r w:rsidRPr="006F7C1F">
              <w:rPr>
                <w:lang w:val="en-GB"/>
              </w:rPr>
              <w:t>Independence</w:t>
            </w:r>
          </w:p>
          <w:p w:rsidR="005103A7" w:rsidRPr="006F7C1F" w:rsidRDefault="005103A7" w:rsidP="005103A7">
            <w:pPr>
              <w:rPr>
                <w:lang w:val="en-GB"/>
              </w:rPr>
            </w:pPr>
          </w:p>
        </w:tc>
        <w:tc>
          <w:tcPr>
            <w:tcW w:w="897" w:type="dxa"/>
            <w:shd w:val="clear" w:color="auto" w:fill="E0E0E0"/>
            <w:vAlign w:val="center"/>
          </w:tcPr>
          <w:p w:rsidR="005103A7" w:rsidRPr="006F7C1F" w:rsidRDefault="006F7C1F" w:rsidP="006F7C1F">
            <w:pPr>
              <w:jc w:val="center"/>
              <w:rPr>
                <w:lang w:val="en-GB"/>
              </w:rPr>
            </w:pPr>
            <w:r w:rsidRPr="006F7C1F">
              <w:rPr>
                <w:lang w:val="en-GB"/>
              </w:rPr>
              <w:t>75</w:t>
            </w:r>
          </w:p>
        </w:tc>
        <w:tc>
          <w:tcPr>
            <w:tcW w:w="1056" w:type="dxa"/>
            <w:gridSpan w:val="2"/>
            <w:shd w:val="clear" w:color="auto" w:fill="E0E0E0"/>
            <w:vAlign w:val="center"/>
          </w:tcPr>
          <w:p w:rsidR="005103A7" w:rsidRPr="006F7C1F" w:rsidRDefault="006F7C1F" w:rsidP="006F7C1F">
            <w:pPr>
              <w:jc w:val="center"/>
              <w:rPr>
                <w:lang w:val="en-GB"/>
              </w:rPr>
            </w:pPr>
            <w:r w:rsidRPr="006F7C1F">
              <w:rPr>
                <w:lang w:val="en-GB"/>
              </w:rPr>
              <w:t>75</w:t>
            </w:r>
          </w:p>
        </w:tc>
      </w:tr>
      <w:tr w:rsidR="005103A7" w:rsidRPr="006F7C1F" w:rsidTr="006F7C1F">
        <w:tc>
          <w:tcPr>
            <w:tcW w:w="2437" w:type="dxa"/>
            <w:vMerge w:val="restart"/>
            <w:shd w:val="clear" w:color="auto" w:fill="999999"/>
          </w:tcPr>
          <w:p w:rsidR="005103A7" w:rsidRPr="006F7C1F" w:rsidRDefault="005103A7" w:rsidP="005103A7">
            <w:pPr>
              <w:rPr>
                <w:lang w:val="en-GB"/>
              </w:rPr>
            </w:pPr>
          </w:p>
          <w:p w:rsidR="005103A7" w:rsidRPr="006F7C1F" w:rsidRDefault="005103A7" w:rsidP="005103A7">
            <w:pPr>
              <w:rPr>
                <w:lang w:val="en-GB"/>
              </w:rPr>
            </w:pPr>
          </w:p>
          <w:p w:rsidR="005103A7" w:rsidRPr="006F7C1F" w:rsidRDefault="005103A7" w:rsidP="005103A7">
            <w:pPr>
              <w:rPr>
                <w:lang w:val="en-GB"/>
              </w:rPr>
            </w:pPr>
          </w:p>
          <w:p w:rsidR="005103A7" w:rsidRPr="006F7C1F" w:rsidRDefault="005103A7" w:rsidP="005103A7">
            <w:pPr>
              <w:rPr>
                <w:lang w:val="en-GB"/>
              </w:rPr>
            </w:pPr>
          </w:p>
          <w:p w:rsidR="005103A7" w:rsidRPr="006F7C1F" w:rsidRDefault="005103A7" w:rsidP="005103A7">
            <w:pPr>
              <w:rPr>
                <w:b/>
                <w:lang w:val="en-GB"/>
              </w:rPr>
            </w:pPr>
            <w:r w:rsidRPr="006F7C1F">
              <w:rPr>
                <w:b/>
                <w:lang w:val="en-GB"/>
              </w:rPr>
              <w:t>Governance</w:t>
            </w:r>
          </w:p>
          <w:p w:rsidR="005103A7" w:rsidRPr="006F7C1F" w:rsidRDefault="006F7C1F" w:rsidP="005103A7">
            <w:pPr>
              <w:rPr>
                <w:lang w:val="en-GB"/>
              </w:rPr>
            </w:pPr>
            <w:r w:rsidRPr="006F7C1F">
              <w:rPr>
                <w:lang w:val="en-GB"/>
              </w:rPr>
              <w:t>33/100</w:t>
            </w:r>
          </w:p>
          <w:p w:rsidR="005103A7" w:rsidRPr="006F7C1F" w:rsidRDefault="005103A7" w:rsidP="005103A7">
            <w:pPr>
              <w:rPr>
                <w:lang w:val="en-GB"/>
              </w:rPr>
            </w:pPr>
          </w:p>
        </w:tc>
        <w:tc>
          <w:tcPr>
            <w:tcW w:w="5181" w:type="dxa"/>
            <w:shd w:val="clear" w:color="auto" w:fill="999999"/>
          </w:tcPr>
          <w:p w:rsidR="005103A7" w:rsidRPr="006F7C1F" w:rsidRDefault="005103A7" w:rsidP="005103A7">
            <w:pPr>
              <w:rPr>
                <w:lang w:val="en-GB"/>
              </w:rPr>
            </w:pPr>
          </w:p>
          <w:p w:rsidR="005103A7" w:rsidRPr="006F7C1F" w:rsidRDefault="005103A7" w:rsidP="005103A7">
            <w:pPr>
              <w:rPr>
                <w:lang w:val="en-GB"/>
              </w:rPr>
            </w:pPr>
            <w:r w:rsidRPr="006F7C1F">
              <w:rPr>
                <w:lang w:val="en-GB"/>
              </w:rPr>
              <w:t>Transparency</w:t>
            </w:r>
          </w:p>
          <w:p w:rsidR="005103A7" w:rsidRPr="006F7C1F" w:rsidRDefault="005103A7" w:rsidP="005103A7">
            <w:pPr>
              <w:rPr>
                <w:lang w:val="en-GB"/>
              </w:rPr>
            </w:pPr>
          </w:p>
        </w:tc>
        <w:tc>
          <w:tcPr>
            <w:tcW w:w="897" w:type="dxa"/>
            <w:shd w:val="clear" w:color="auto" w:fill="999999"/>
            <w:vAlign w:val="center"/>
          </w:tcPr>
          <w:p w:rsidR="005103A7" w:rsidRPr="006F7C1F" w:rsidRDefault="006F7C1F" w:rsidP="006F7C1F">
            <w:pPr>
              <w:jc w:val="center"/>
              <w:rPr>
                <w:lang w:val="en-GB"/>
              </w:rPr>
            </w:pPr>
            <w:r w:rsidRPr="006F7C1F">
              <w:rPr>
                <w:lang w:val="en-GB"/>
              </w:rPr>
              <w:t>--</w:t>
            </w:r>
          </w:p>
        </w:tc>
        <w:tc>
          <w:tcPr>
            <w:tcW w:w="1056" w:type="dxa"/>
            <w:gridSpan w:val="2"/>
            <w:shd w:val="clear" w:color="auto" w:fill="999999"/>
            <w:vAlign w:val="center"/>
          </w:tcPr>
          <w:p w:rsidR="005103A7" w:rsidRPr="006F7C1F" w:rsidRDefault="006F7C1F" w:rsidP="006F7C1F">
            <w:pPr>
              <w:jc w:val="center"/>
              <w:rPr>
                <w:lang w:val="en-GB"/>
              </w:rPr>
            </w:pPr>
            <w:r w:rsidRPr="006F7C1F">
              <w:rPr>
                <w:lang w:val="en-GB"/>
              </w:rPr>
              <w:t>50</w:t>
            </w:r>
          </w:p>
        </w:tc>
      </w:tr>
      <w:tr w:rsidR="005103A7" w:rsidRPr="006F7C1F" w:rsidTr="006F7C1F">
        <w:tc>
          <w:tcPr>
            <w:tcW w:w="2437" w:type="dxa"/>
            <w:vMerge/>
            <w:shd w:val="clear" w:color="auto" w:fill="999999"/>
          </w:tcPr>
          <w:p w:rsidR="005103A7" w:rsidRPr="006F7C1F" w:rsidRDefault="005103A7" w:rsidP="005103A7">
            <w:pPr>
              <w:rPr>
                <w:lang w:val="en-GB"/>
              </w:rPr>
            </w:pPr>
          </w:p>
        </w:tc>
        <w:tc>
          <w:tcPr>
            <w:tcW w:w="5181" w:type="dxa"/>
            <w:shd w:val="clear" w:color="auto" w:fill="999999"/>
          </w:tcPr>
          <w:p w:rsidR="005103A7" w:rsidRPr="006F7C1F" w:rsidRDefault="005103A7" w:rsidP="005103A7">
            <w:pPr>
              <w:rPr>
                <w:lang w:val="en-GB"/>
              </w:rPr>
            </w:pPr>
          </w:p>
          <w:p w:rsidR="005103A7" w:rsidRPr="006F7C1F" w:rsidRDefault="005103A7" w:rsidP="005103A7">
            <w:pPr>
              <w:rPr>
                <w:lang w:val="en-GB"/>
              </w:rPr>
            </w:pPr>
            <w:r w:rsidRPr="006F7C1F">
              <w:rPr>
                <w:lang w:val="en-GB"/>
              </w:rPr>
              <w:t>Accountability</w:t>
            </w:r>
          </w:p>
          <w:p w:rsidR="005103A7" w:rsidRPr="006F7C1F" w:rsidRDefault="005103A7" w:rsidP="005103A7">
            <w:pPr>
              <w:rPr>
                <w:lang w:val="en-GB"/>
              </w:rPr>
            </w:pPr>
          </w:p>
        </w:tc>
        <w:tc>
          <w:tcPr>
            <w:tcW w:w="897" w:type="dxa"/>
            <w:shd w:val="clear" w:color="auto" w:fill="999999"/>
            <w:vAlign w:val="center"/>
          </w:tcPr>
          <w:p w:rsidR="005103A7" w:rsidRPr="006F7C1F" w:rsidRDefault="006F7C1F" w:rsidP="006F7C1F">
            <w:pPr>
              <w:jc w:val="center"/>
              <w:rPr>
                <w:lang w:val="en-GB"/>
              </w:rPr>
            </w:pPr>
            <w:r w:rsidRPr="006F7C1F">
              <w:rPr>
                <w:lang w:val="en-GB"/>
              </w:rPr>
              <w:t>--</w:t>
            </w:r>
          </w:p>
        </w:tc>
        <w:tc>
          <w:tcPr>
            <w:tcW w:w="1056" w:type="dxa"/>
            <w:gridSpan w:val="2"/>
            <w:shd w:val="clear" w:color="auto" w:fill="999999"/>
            <w:vAlign w:val="center"/>
          </w:tcPr>
          <w:p w:rsidR="005103A7" w:rsidRPr="006F7C1F" w:rsidRDefault="006F7C1F" w:rsidP="006F7C1F">
            <w:pPr>
              <w:jc w:val="center"/>
              <w:rPr>
                <w:lang w:val="en-GB"/>
              </w:rPr>
            </w:pPr>
            <w:r w:rsidRPr="006F7C1F">
              <w:rPr>
                <w:lang w:val="en-GB"/>
              </w:rPr>
              <w:t>25</w:t>
            </w:r>
          </w:p>
        </w:tc>
      </w:tr>
      <w:tr w:rsidR="003C3398" w:rsidRPr="006F7C1F" w:rsidTr="006F7C1F">
        <w:tc>
          <w:tcPr>
            <w:tcW w:w="2437" w:type="dxa"/>
            <w:vMerge/>
            <w:shd w:val="clear" w:color="auto" w:fill="999999"/>
          </w:tcPr>
          <w:p w:rsidR="003C3398" w:rsidRPr="006F7C1F" w:rsidRDefault="003C3398" w:rsidP="005103A7">
            <w:pPr>
              <w:rPr>
                <w:lang w:val="en-GB"/>
              </w:rPr>
            </w:pPr>
          </w:p>
        </w:tc>
        <w:tc>
          <w:tcPr>
            <w:tcW w:w="5181" w:type="dxa"/>
            <w:shd w:val="clear" w:color="auto" w:fill="999999"/>
          </w:tcPr>
          <w:p w:rsidR="003C3398" w:rsidRPr="006F7C1F" w:rsidRDefault="003C3398" w:rsidP="005103A7">
            <w:pPr>
              <w:rPr>
                <w:lang w:val="en-GB"/>
              </w:rPr>
            </w:pPr>
          </w:p>
          <w:p w:rsidR="003C3398" w:rsidRPr="006F7C1F" w:rsidRDefault="003C3398" w:rsidP="005103A7">
            <w:pPr>
              <w:rPr>
                <w:lang w:val="en-GB"/>
              </w:rPr>
            </w:pPr>
            <w:r w:rsidRPr="006F7C1F">
              <w:rPr>
                <w:lang w:val="en-GB"/>
              </w:rPr>
              <w:t>Integrity</w:t>
            </w:r>
          </w:p>
          <w:p w:rsidR="003C3398" w:rsidRPr="006F7C1F" w:rsidRDefault="003C3398" w:rsidP="005103A7">
            <w:pPr>
              <w:rPr>
                <w:lang w:val="en-GB"/>
              </w:rPr>
            </w:pPr>
          </w:p>
        </w:tc>
        <w:tc>
          <w:tcPr>
            <w:tcW w:w="1953" w:type="dxa"/>
            <w:gridSpan w:val="3"/>
            <w:shd w:val="clear" w:color="auto" w:fill="999999"/>
            <w:vAlign w:val="center"/>
          </w:tcPr>
          <w:p w:rsidR="003C3398" w:rsidRPr="006F7C1F" w:rsidRDefault="006F7C1F" w:rsidP="006F7C1F">
            <w:pPr>
              <w:jc w:val="center"/>
              <w:rPr>
                <w:lang w:val="en-GB"/>
              </w:rPr>
            </w:pPr>
            <w:r w:rsidRPr="006F7C1F">
              <w:rPr>
                <w:lang w:val="en-GB"/>
              </w:rPr>
              <w:t>25</w:t>
            </w:r>
          </w:p>
        </w:tc>
      </w:tr>
      <w:tr w:rsidR="006F7C1F" w:rsidRPr="006F7C1F" w:rsidTr="006F7C1F">
        <w:tc>
          <w:tcPr>
            <w:tcW w:w="2437" w:type="dxa"/>
            <w:vMerge w:val="restart"/>
            <w:shd w:val="clear" w:color="auto" w:fill="E0E0E0"/>
          </w:tcPr>
          <w:p w:rsidR="006F7C1F" w:rsidRPr="006F7C1F" w:rsidRDefault="006F7C1F" w:rsidP="005103A7">
            <w:pPr>
              <w:rPr>
                <w:lang w:val="en-GB"/>
              </w:rPr>
            </w:pPr>
          </w:p>
          <w:p w:rsidR="006F7C1F" w:rsidRPr="006F7C1F" w:rsidRDefault="006F7C1F" w:rsidP="005103A7">
            <w:pPr>
              <w:rPr>
                <w:lang w:val="en-GB"/>
              </w:rPr>
            </w:pPr>
          </w:p>
          <w:p w:rsidR="006F7C1F" w:rsidRPr="006F7C1F" w:rsidRDefault="006F7C1F" w:rsidP="005103A7">
            <w:pPr>
              <w:rPr>
                <w:b/>
                <w:lang w:val="en-GB"/>
              </w:rPr>
            </w:pPr>
            <w:r w:rsidRPr="006F7C1F">
              <w:rPr>
                <w:b/>
                <w:lang w:val="en-GB"/>
              </w:rPr>
              <w:t>Role</w:t>
            </w:r>
          </w:p>
          <w:p w:rsidR="006F7C1F" w:rsidRPr="006F7C1F" w:rsidRDefault="006F7C1F" w:rsidP="005103A7">
            <w:pPr>
              <w:rPr>
                <w:lang w:val="en-GB"/>
              </w:rPr>
            </w:pPr>
            <w:r w:rsidRPr="006F7C1F">
              <w:rPr>
                <w:lang w:val="en-GB"/>
              </w:rPr>
              <w:t>25/100</w:t>
            </w:r>
          </w:p>
          <w:p w:rsidR="006F7C1F" w:rsidRPr="006F7C1F" w:rsidRDefault="006F7C1F" w:rsidP="005103A7">
            <w:pPr>
              <w:rPr>
                <w:lang w:val="en-GB"/>
              </w:rPr>
            </w:pPr>
          </w:p>
        </w:tc>
        <w:tc>
          <w:tcPr>
            <w:tcW w:w="5181" w:type="dxa"/>
            <w:shd w:val="clear" w:color="auto" w:fill="E0E0E0"/>
          </w:tcPr>
          <w:p w:rsidR="006F7C1F" w:rsidRPr="006F7C1F" w:rsidRDefault="006F7C1F" w:rsidP="005103A7">
            <w:pPr>
              <w:rPr>
                <w:lang w:val="en-GB"/>
              </w:rPr>
            </w:pPr>
          </w:p>
          <w:p w:rsidR="006F7C1F" w:rsidRPr="006F7C1F" w:rsidRDefault="006F7C1F" w:rsidP="005103A7">
            <w:pPr>
              <w:rPr>
                <w:lang w:val="en-GB"/>
              </w:rPr>
            </w:pPr>
            <w:r w:rsidRPr="006F7C1F">
              <w:rPr>
                <w:lang w:val="en-GB"/>
              </w:rPr>
              <w:t>Hold Government Accountable</w:t>
            </w:r>
          </w:p>
          <w:p w:rsidR="006F7C1F" w:rsidRPr="006F7C1F" w:rsidRDefault="006F7C1F" w:rsidP="005103A7">
            <w:pPr>
              <w:rPr>
                <w:lang w:val="en-GB"/>
              </w:rPr>
            </w:pPr>
          </w:p>
        </w:tc>
        <w:tc>
          <w:tcPr>
            <w:tcW w:w="976" w:type="dxa"/>
            <w:gridSpan w:val="2"/>
            <w:shd w:val="clear" w:color="auto" w:fill="E0E0E0"/>
            <w:vAlign w:val="center"/>
          </w:tcPr>
          <w:p w:rsidR="006F7C1F" w:rsidRPr="006F7C1F" w:rsidRDefault="006F7C1F" w:rsidP="006F7C1F">
            <w:pPr>
              <w:jc w:val="center"/>
              <w:rPr>
                <w:lang w:val="en-GB"/>
              </w:rPr>
            </w:pPr>
            <w:r w:rsidRPr="006F7C1F">
              <w:rPr>
                <w:lang w:val="en-GB"/>
              </w:rPr>
              <w:t>--</w:t>
            </w:r>
          </w:p>
        </w:tc>
        <w:tc>
          <w:tcPr>
            <w:tcW w:w="977" w:type="dxa"/>
            <w:shd w:val="clear" w:color="auto" w:fill="E0E0E0"/>
            <w:vAlign w:val="center"/>
          </w:tcPr>
          <w:p w:rsidR="006F7C1F" w:rsidRPr="006F7C1F" w:rsidRDefault="006F7C1F" w:rsidP="006F7C1F">
            <w:pPr>
              <w:jc w:val="center"/>
              <w:rPr>
                <w:lang w:val="en-GB"/>
              </w:rPr>
            </w:pPr>
            <w:r w:rsidRPr="006F7C1F">
              <w:rPr>
                <w:lang w:val="en-GB"/>
              </w:rPr>
              <w:t>25</w:t>
            </w:r>
          </w:p>
        </w:tc>
      </w:tr>
      <w:tr w:rsidR="006F7C1F" w:rsidRPr="006F7C1F" w:rsidTr="006F7C1F">
        <w:tc>
          <w:tcPr>
            <w:tcW w:w="2437" w:type="dxa"/>
            <w:vMerge/>
            <w:shd w:val="clear" w:color="auto" w:fill="E0E0E0"/>
          </w:tcPr>
          <w:p w:rsidR="006F7C1F" w:rsidRPr="006F7C1F" w:rsidRDefault="006F7C1F" w:rsidP="005103A7">
            <w:pPr>
              <w:rPr>
                <w:lang w:val="en-GB"/>
              </w:rPr>
            </w:pPr>
          </w:p>
        </w:tc>
        <w:tc>
          <w:tcPr>
            <w:tcW w:w="5181" w:type="dxa"/>
            <w:shd w:val="clear" w:color="auto" w:fill="E0E0E0"/>
          </w:tcPr>
          <w:p w:rsidR="006F7C1F" w:rsidRPr="006F7C1F" w:rsidRDefault="006F7C1F" w:rsidP="005103A7">
            <w:pPr>
              <w:rPr>
                <w:lang w:val="en-GB"/>
              </w:rPr>
            </w:pPr>
          </w:p>
          <w:p w:rsidR="006F7C1F" w:rsidRPr="006F7C1F" w:rsidRDefault="006F7C1F" w:rsidP="005103A7">
            <w:pPr>
              <w:rPr>
                <w:lang w:val="en-GB"/>
              </w:rPr>
            </w:pPr>
            <w:r w:rsidRPr="006F7C1F">
              <w:rPr>
                <w:lang w:val="en-GB"/>
              </w:rPr>
              <w:t>Policy Reform</w:t>
            </w:r>
          </w:p>
          <w:p w:rsidR="006F7C1F" w:rsidRPr="006F7C1F" w:rsidRDefault="006F7C1F" w:rsidP="005103A7">
            <w:pPr>
              <w:rPr>
                <w:lang w:val="en-GB"/>
              </w:rPr>
            </w:pPr>
          </w:p>
        </w:tc>
        <w:tc>
          <w:tcPr>
            <w:tcW w:w="976" w:type="dxa"/>
            <w:gridSpan w:val="2"/>
            <w:shd w:val="clear" w:color="auto" w:fill="E0E0E0"/>
            <w:vAlign w:val="center"/>
          </w:tcPr>
          <w:p w:rsidR="006F7C1F" w:rsidRPr="006F7C1F" w:rsidRDefault="006F7C1F" w:rsidP="006F7C1F">
            <w:pPr>
              <w:jc w:val="center"/>
              <w:rPr>
                <w:lang w:val="en-GB"/>
              </w:rPr>
            </w:pPr>
            <w:r w:rsidRPr="006F7C1F">
              <w:rPr>
                <w:lang w:val="en-GB"/>
              </w:rPr>
              <w:t>--</w:t>
            </w:r>
          </w:p>
        </w:tc>
        <w:tc>
          <w:tcPr>
            <w:tcW w:w="977" w:type="dxa"/>
            <w:shd w:val="clear" w:color="auto" w:fill="E0E0E0"/>
            <w:vAlign w:val="center"/>
          </w:tcPr>
          <w:p w:rsidR="006F7C1F" w:rsidRPr="006F7C1F" w:rsidRDefault="006F7C1F" w:rsidP="006F7C1F">
            <w:pPr>
              <w:jc w:val="center"/>
              <w:rPr>
                <w:lang w:val="en-GB"/>
              </w:rPr>
            </w:pPr>
            <w:r w:rsidRPr="006F7C1F">
              <w:rPr>
                <w:lang w:val="en-GB"/>
              </w:rPr>
              <w:t>25</w:t>
            </w:r>
          </w:p>
        </w:tc>
      </w:tr>
    </w:tbl>
    <w:p w:rsidR="005103A7" w:rsidRPr="006F7C1F" w:rsidRDefault="005103A7">
      <w:pPr>
        <w:rPr>
          <w:lang w:val="en-GB"/>
        </w:rPr>
      </w:pPr>
    </w:p>
    <w:p w:rsidR="005103A7" w:rsidRPr="006F7C1F" w:rsidRDefault="005103A7">
      <w:pPr>
        <w:rPr>
          <w:lang w:val="en-GB"/>
        </w:rPr>
      </w:pPr>
    </w:p>
    <w:p w:rsidR="00CE2A42" w:rsidRPr="006F7C1F" w:rsidRDefault="00CE2A42" w:rsidP="005103A7">
      <w:pPr>
        <w:jc w:val="both"/>
        <w:rPr>
          <w:b/>
          <w:lang w:val="en-GB"/>
        </w:rPr>
      </w:pPr>
    </w:p>
    <w:p w:rsidR="00CE2A42" w:rsidRPr="006F7C1F" w:rsidRDefault="00CE2A42" w:rsidP="006F7C1F">
      <w:pPr>
        <w:jc w:val="both"/>
        <w:rPr>
          <w:b/>
          <w:lang w:val="en-GB"/>
        </w:rPr>
      </w:pPr>
    </w:p>
    <w:p w:rsidR="005103A7" w:rsidRPr="006F7C1F" w:rsidRDefault="005103A7" w:rsidP="006F7C1F">
      <w:pPr>
        <w:jc w:val="both"/>
        <w:rPr>
          <w:b/>
          <w:lang w:val="en-GB"/>
        </w:rPr>
      </w:pPr>
      <w:r w:rsidRPr="006F7C1F">
        <w:rPr>
          <w:b/>
          <w:lang w:val="en-GB"/>
        </w:rPr>
        <w:t xml:space="preserve">Structure and Organisation </w:t>
      </w:r>
    </w:p>
    <w:p w:rsidR="005103A7" w:rsidRPr="006F7C1F" w:rsidRDefault="005103A7" w:rsidP="006F7C1F">
      <w:pPr>
        <w:jc w:val="both"/>
        <w:rPr>
          <w:lang w:val="en-GB"/>
        </w:rPr>
      </w:pPr>
    </w:p>
    <w:p w:rsidR="00033729" w:rsidRPr="006F7C1F" w:rsidRDefault="005103A7" w:rsidP="006F7C1F">
      <w:pPr>
        <w:jc w:val="both"/>
        <w:rPr>
          <w:lang w:val="en-GB"/>
        </w:rPr>
      </w:pPr>
      <w:r w:rsidRPr="006F7C1F">
        <w:rPr>
          <w:lang w:val="en-GB"/>
        </w:rPr>
        <w:t>There are some 10,000 registered CSOs in Georgia,</w:t>
      </w:r>
      <w:r w:rsidR="001C2366" w:rsidRPr="006F7C1F">
        <w:rPr>
          <w:lang w:val="en-GB"/>
        </w:rPr>
        <w:t xml:space="preserve"> </w:t>
      </w:r>
      <w:r w:rsidRPr="006F7C1F">
        <w:rPr>
          <w:lang w:val="en-GB"/>
        </w:rPr>
        <w:t xml:space="preserve">although </w:t>
      </w:r>
      <w:r w:rsidR="00A55901" w:rsidRPr="006F7C1F">
        <w:rPr>
          <w:lang w:val="en-GB"/>
        </w:rPr>
        <w:t>fewer than</w:t>
      </w:r>
      <w:r w:rsidR="001C2366" w:rsidRPr="006F7C1F">
        <w:rPr>
          <w:lang w:val="en-GB"/>
        </w:rPr>
        <w:t xml:space="preserve"> one in ten are </w:t>
      </w:r>
      <w:r w:rsidR="00A22F15" w:rsidRPr="006F7C1F">
        <w:rPr>
          <w:lang w:val="en-GB"/>
        </w:rPr>
        <w:t>functional</w:t>
      </w:r>
      <w:r w:rsidR="00033729" w:rsidRPr="006F7C1F">
        <w:rPr>
          <w:lang w:val="en-GB"/>
        </w:rPr>
        <w:t>.</w:t>
      </w:r>
      <w:r w:rsidR="001C2366" w:rsidRPr="006F7C1F">
        <w:rPr>
          <w:rStyle w:val="FootnoteReference"/>
          <w:lang w:val="en-GB"/>
        </w:rPr>
        <w:footnoteReference w:id="1"/>
      </w:r>
      <w:r w:rsidRPr="006F7C1F">
        <w:rPr>
          <w:lang w:val="en-GB"/>
        </w:rPr>
        <w:t xml:space="preserve"> </w:t>
      </w:r>
      <w:r w:rsidR="00033729" w:rsidRPr="006F7C1F">
        <w:rPr>
          <w:lang w:val="en-GB"/>
        </w:rPr>
        <w:t>There are 62</w:t>
      </w:r>
      <w:r w:rsidR="00CE2A42" w:rsidRPr="006F7C1F">
        <w:rPr>
          <w:lang w:val="en-GB"/>
        </w:rPr>
        <w:t xml:space="preserve"> </w:t>
      </w:r>
      <w:r w:rsidR="00033729" w:rsidRPr="006F7C1F">
        <w:rPr>
          <w:lang w:val="en-GB"/>
        </w:rPr>
        <w:t>registered charities</w:t>
      </w:r>
      <w:r w:rsidR="00B350F5" w:rsidRPr="006F7C1F">
        <w:rPr>
          <w:lang w:val="en-GB"/>
        </w:rPr>
        <w:t xml:space="preserve"> that are able to accept tax-deductible donations</w:t>
      </w:r>
      <w:r w:rsidR="00033729" w:rsidRPr="006F7C1F">
        <w:rPr>
          <w:lang w:val="en-GB"/>
        </w:rPr>
        <w:t xml:space="preserve">, </w:t>
      </w:r>
      <w:r w:rsidR="00B350F5" w:rsidRPr="006F7C1F">
        <w:rPr>
          <w:lang w:val="en-GB"/>
        </w:rPr>
        <w:t xml:space="preserve">and </w:t>
      </w:r>
      <w:r w:rsidR="00033729" w:rsidRPr="006F7C1F">
        <w:rPr>
          <w:lang w:val="en-GB"/>
        </w:rPr>
        <w:t xml:space="preserve">most of </w:t>
      </w:r>
      <w:r w:rsidR="00B350F5" w:rsidRPr="006F7C1F">
        <w:rPr>
          <w:lang w:val="en-GB"/>
        </w:rPr>
        <w:t>these</w:t>
      </w:r>
      <w:r w:rsidR="00033729" w:rsidRPr="006F7C1F">
        <w:rPr>
          <w:lang w:val="en-GB"/>
        </w:rPr>
        <w:t xml:space="preserve"> are active</w:t>
      </w:r>
      <w:r w:rsidR="00CE2A42" w:rsidRPr="006F7C1F">
        <w:rPr>
          <w:lang w:val="en-GB"/>
        </w:rPr>
        <w:t>.</w:t>
      </w:r>
      <w:r w:rsidR="00CE2A42" w:rsidRPr="006F7C1F">
        <w:rPr>
          <w:rStyle w:val="FootnoteReference"/>
          <w:lang w:val="en-GB"/>
        </w:rPr>
        <w:footnoteReference w:id="2"/>
      </w:r>
      <w:r w:rsidR="00CE2A42" w:rsidRPr="006F7C1F">
        <w:rPr>
          <w:lang w:val="en-GB"/>
        </w:rPr>
        <w:t xml:space="preserve"> </w:t>
      </w:r>
      <w:r w:rsidR="00033729" w:rsidRPr="006F7C1F">
        <w:rPr>
          <w:lang w:val="en-GB"/>
        </w:rPr>
        <w:t xml:space="preserve">CSOs </w:t>
      </w:r>
      <w:r w:rsidR="00757253" w:rsidRPr="006F7C1F">
        <w:rPr>
          <w:lang w:val="en-GB"/>
        </w:rPr>
        <w:t>fall under the category of</w:t>
      </w:r>
      <w:r w:rsidR="00033729" w:rsidRPr="006F7C1F">
        <w:rPr>
          <w:lang w:val="en-GB"/>
        </w:rPr>
        <w:t xml:space="preserve"> “non-commercial legal entities”, although the law also provides for the operation of unregistered unions.</w:t>
      </w:r>
      <w:r w:rsidR="00033729" w:rsidRPr="006F7C1F">
        <w:rPr>
          <w:rStyle w:val="FootnoteReference"/>
          <w:lang w:val="en-GB"/>
        </w:rPr>
        <w:footnoteReference w:id="3"/>
      </w:r>
      <w:r w:rsidR="00B350F5" w:rsidRPr="006F7C1F">
        <w:rPr>
          <w:lang w:val="en-GB"/>
        </w:rPr>
        <w:t xml:space="preserve"> Registration is managed by the </w:t>
      </w:r>
      <w:r w:rsidR="00757253" w:rsidRPr="006F7C1F">
        <w:rPr>
          <w:lang w:val="en-GB"/>
        </w:rPr>
        <w:t>Public Registry under the Ministry of Justice</w:t>
      </w:r>
      <w:r w:rsidR="00B350F5" w:rsidRPr="006F7C1F">
        <w:rPr>
          <w:lang w:val="en-GB"/>
        </w:rPr>
        <w:t xml:space="preserve">, while registration for charity status is managed by the Ministry of Finance. </w:t>
      </w:r>
      <w:r w:rsidR="00757253" w:rsidRPr="006F7C1F">
        <w:rPr>
          <w:lang w:val="en-GB"/>
        </w:rPr>
        <w:t>Most g</w:t>
      </w:r>
      <w:r w:rsidR="00B350F5" w:rsidRPr="006F7C1F">
        <w:rPr>
          <w:lang w:val="en-GB"/>
        </w:rPr>
        <w:t>rants are exempt from taxation, although CSOs pay taxes on salaries at the same rate as businesses – 20 percent.</w:t>
      </w:r>
    </w:p>
    <w:p w:rsidR="00033729" w:rsidRPr="006F7C1F" w:rsidRDefault="00033729" w:rsidP="006F7C1F">
      <w:pPr>
        <w:jc w:val="both"/>
        <w:rPr>
          <w:lang w:val="en-GB"/>
        </w:rPr>
      </w:pPr>
    </w:p>
    <w:p w:rsidR="005103A7" w:rsidRPr="006F7C1F" w:rsidRDefault="005103A7" w:rsidP="006F7C1F">
      <w:pPr>
        <w:jc w:val="both"/>
        <w:rPr>
          <w:lang w:val="en-GB"/>
        </w:rPr>
      </w:pPr>
      <w:r w:rsidRPr="006F7C1F">
        <w:rPr>
          <w:lang w:val="en-GB"/>
        </w:rPr>
        <w:t>The largest and most active organisations are concentrated in Tbilisi, while the strength of CSOs in the regions is far weaker.</w:t>
      </w: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Assessment</w:t>
      </w: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Resources (law)</w:t>
      </w:r>
    </w:p>
    <w:p w:rsidR="005103A7" w:rsidRPr="006F7C1F" w:rsidRDefault="006F7C1F" w:rsidP="006F7C1F">
      <w:pPr>
        <w:jc w:val="both"/>
        <w:rPr>
          <w:b/>
          <w:lang w:val="en-GB"/>
        </w:rPr>
      </w:pPr>
      <w:r w:rsidRPr="006F7C1F">
        <w:rPr>
          <w:b/>
          <w:lang w:val="en-GB"/>
        </w:rPr>
        <w:t>Score: 75</w:t>
      </w:r>
    </w:p>
    <w:p w:rsidR="005103A7" w:rsidRPr="006F7C1F" w:rsidRDefault="005103A7" w:rsidP="006F7C1F">
      <w:pPr>
        <w:jc w:val="both"/>
        <w:rPr>
          <w:lang w:val="en-GB"/>
        </w:rPr>
      </w:pPr>
    </w:p>
    <w:p w:rsidR="005103A7" w:rsidRPr="006F7C1F" w:rsidRDefault="005103A7" w:rsidP="006F7C1F">
      <w:pPr>
        <w:jc w:val="both"/>
        <w:rPr>
          <w:i/>
          <w:lang w:val="en-GB"/>
        </w:rPr>
      </w:pPr>
      <w:r w:rsidRPr="006F7C1F">
        <w:rPr>
          <w:i/>
          <w:lang w:val="en-GB"/>
        </w:rPr>
        <w:t>To what extent does the legal framework provide a conducive environment for civil society?</w:t>
      </w:r>
    </w:p>
    <w:p w:rsidR="005103A7" w:rsidRPr="006F7C1F" w:rsidRDefault="005103A7" w:rsidP="006F7C1F">
      <w:pPr>
        <w:jc w:val="both"/>
        <w:rPr>
          <w:lang w:val="en-GB"/>
        </w:rPr>
      </w:pPr>
    </w:p>
    <w:p w:rsidR="002E2FEF" w:rsidRPr="006F7C1F" w:rsidRDefault="005103A7" w:rsidP="006F7C1F">
      <w:pPr>
        <w:jc w:val="both"/>
        <w:rPr>
          <w:lang w:val="en-GB"/>
        </w:rPr>
      </w:pPr>
      <w:r w:rsidRPr="006F7C1F">
        <w:rPr>
          <w:lang w:val="en-US"/>
        </w:rPr>
        <w:t>Georgia’s legal framework does not contain any significant hurdles for the operation of CSOs.</w:t>
      </w:r>
      <w:r w:rsidR="00D857D7" w:rsidRPr="006F7C1F">
        <w:rPr>
          <w:lang w:val="en-US"/>
        </w:rPr>
        <w:t xml:space="preserve"> </w:t>
      </w:r>
      <w:r w:rsidR="00FE4D52" w:rsidRPr="006F7C1F">
        <w:rPr>
          <w:lang w:val="en-GB"/>
        </w:rPr>
        <w:t>I</w:t>
      </w:r>
      <w:r w:rsidRPr="006F7C1F">
        <w:rPr>
          <w:lang w:val="en-GB"/>
        </w:rPr>
        <w:t>n some areas, it is quite progressive</w:t>
      </w:r>
      <w:r w:rsidR="00FE4D52" w:rsidRPr="006F7C1F">
        <w:rPr>
          <w:lang w:val="en-GB"/>
        </w:rPr>
        <w:t>:</w:t>
      </w:r>
      <w:r w:rsidR="00D857D7" w:rsidRPr="006F7C1F">
        <w:rPr>
          <w:lang w:val="en-GB"/>
        </w:rPr>
        <w:t xml:space="preserve"> </w:t>
      </w:r>
      <w:r w:rsidR="00FE4D52" w:rsidRPr="006F7C1F">
        <w:rPr>
          <w:lang w:val="en-GB"/>
        </w:rPr>
        <w:t>t</w:t>
      </w:r>
      <w:r w:rsidRPr="006F7C1F">
        <w:rPr>
          <w:lang w:val="en-GB"/>
        </w:rPr>
        <w:t>here are simple registration and operation procedures</w:t>
      </w:r>
      <w:r w:rsidRPr="006F7C1F">
        <w:rPr>
          <w:rStyle w:val="FootnoteReference"/>
          <w:lang w:val="en-GB"/>
        </w:rPr>
        <w:footnoteReference w:id="4"/>
      </w:r>
      <w:r w:rsidR="00A22F15" w:rsidRPr="006F7C1F">
        <w:rPr>
          <w:lang w:val="en-GB"/>
        </w:rPr>
        <w:t xml:space="preserve"> </w:t>
      </w:r>
      <w:r w:rsidRPr="006F7C1F">
        <w:rPr>
          <w:lang w:val="en-GB"/>
        </w:rPr>
        <w:t>and a “soun</w:t>
      </w:r>
      <w:r w:rsidR="00757253" w:rsidRPr="006F7C1F">
        <w:rPr>
          <w:lang w:val="en-GB"/>
        </w:rPr>
        <w:t>d legal basis for exercising the</w:t>
      </w:r>
      <w:r w:rsidRPr="006F7C1F">
        <w:rPr>
          <w:lang w:val="en-GB"/>
        </w:rPr>
        <w:t xml:space="preserve"> freedom of association”</w:t>
      </w:r>
      <w:r w:rsidR="00757253" w:rsidRPr="006F7C1F">
        <w:rPr>
          <w:lang w:val="en-GB"/>
        </w:rPr>
        <w:t xml:space="preserve">, which </w:t>
      </w:r>
      <w:r w:rsidR="00FE4D52" w:rsidRPr="006F7C1F">
        <w:rPr>
          <w:lang w:val="en-GB"/>
        </w:rPr>
        <w:t>is</w:t>
      </w:r>
      <w:r w:rsidRPr="006F7C1F">
        <w:rPr>
          <w:lang w:val="en-GB"/>
        </w:rPr>
        <w:t xml:space="preserve"> free of restrictions on advocacy and criticism of the government.</w:t>
      </w:r>
      <w:r w:rsidRPr="006F7C1F">
        <w:rPr>
          <w:rStyle w:val="FootnoteReference"/>
          <w:lang w:val="en-GB"/>
        </w:rPr>
        <w:footnoteReference w:id="5"/>
      </w:r>
      <w:r w:rsidRPr="006F7C1F">
        <w:rPr>
          <w:lang w:val="en-GB"/>
        </w:rPr>
        <w:t xml:space="preserve"> However, while the law does not hinder the resources of CSOs, it does </w:t>
      </w:r>
      <w:r w:rsidR="00C740EE" w:rsidRPr="006F7C1F">
        <w:rPr>
          <w:lang w:val="en-GB"/>
        </w:rPr>
        <w:t>not go far enough towards encouraging philanthropic donations</w:t>
      </w:r>
      <w:r w:rsidR="008C4C45" w:rsidRPr="006F7C1F">
        <w:rPr>
          <w:lang w:val="en-GB"/>
        </w:rPr>
        <w:t>, especially from individuals.</w:t>
      </w:r>
      <w:r w:rsidR="00FE4D52" w:rsidRPr="006F7C1F">
        <w:rPr>
          <w:lang w:val="en-GB"/>
        </w:rPr>
        <w:t xml:space="preserve"> </w:t>
      </w:r>
    </w:p>
    <w:p w:rsidR="008C4C45" w:rsidRPr="006F7C1F" w:rsidRDefault="008C4C45" w:rsidP="006F7C1F">
      <w:pPr>
        <w:jc w:val="both"/>
        <w:rPr>
          <w:lang w:val="en-GB"/>
        </w:rPr>
      </w:pPr>
    </w:p>
    <w:p w:rsidR="008C4C45" w:rsidRPr="006F7C1F" w:rsidRDefault="008C4C45" w:rsidP="006F7C1F">
      <w:pPr>
        <w:jc w:val="both"/>
        <w:rPr>
          <w:lang w:val="en-GB"/>
        </w:rPr>
      </w:pPr>
      <w:r w:rsidRPr="006F7C1F">
        <w:rPr>
          <w:lang w:val="en-GB"/>
        </w:rPr>
        <w:t>The Constitution guarantees the right to form and join public associations;</w:t>
      </w:r>
      <w:r w:rsidRPr="006F7C1F">
        <w:rPr>
          <w:rStyle w:val="FootnoteReference"/>
          <w:lang w:val="en-GB"/>
        </w:rPr>
        <w:footnoteReference w:id="6"/>
      </w:r>
      <w:r w:rsidRPr="006F7C1F">
        <w:rPr>
          <w:lang w:val="en-GB"/>
        </w:rPr>
        <w:t xml:space="preserve"> the Civil Code lays down the specific rules for establishing and registering such organisations.</w:t>
      </w:r>
    </w:p>
    <w:p w:rsidR="008C4C45" w:rsidRPr="006F7C1F" w:rsidRDefault="008C4C45" w:rsidP="006F7C1F">
      <w:pPr>
        <w:jc w:val="both"/>
        <w:rPr>
          <w:lang w:val="en-GB"/>
        </w:rPr>
      </w:pPr>
    </w:p>
    <w:p w:rsidR="008C4C45" w:rsidRPr="006F7C1F" w:rsidRDefault="008C4C45" w:rsidP="006F7C1F">
      <w:pPr>
        <w:jc w:val="both"/>
        <w:rPr>
          <w:lang w:val="en-GB"/>
        </w:rPr>
      </w:pPr>
      <w:r w:rsidRPr="006F7C1F">
        <w:rPr>
          <w:lang w:val="en-GB"/>
        </w:rPr>
        <w:t>According to the Civil Code, CSOs fall into the category of non-commercial legal entities. Their registration is handled by the Public Registry. Once an organisation applies for registration, the Public Registry is required to make a decision within the same day as to whether or not they can be registered. The registration fee is GEL 100. A refusal to register an organisation must be substantiated and can be challenged in court.</w:t>
      </w:r>
      <w:r w:rsidRPr="006F7C1F">
        <w:rPr>
          <w:rStyle w:val="FootnoteReference"/>
          <w:lang w:val="en-GB"/>
        </w:rPr>
        <w:footnoteReference w:id="7"/>
      </w:r>
      <w:r w:rsidRPr="006F7C1F">
        <w:rPr>
          <w:lang w:val="en-GB"/>
        </w:rPr>
        <w:t xml:space="preserve"> The Code also allows </w:t>
      </w:r>
      <w:r w:rsidRPr="006F7C1F">
        <w:rPr>
          <w:lang w:val="en-GB"/>
        </w:rPr>
        <w:lastRenderedPageBreak/>
        <w:t>for the operation of unregistered CSOs.</w:t>
      </w:r>
      <w:r w:rsidRPr="006F7C1F">
        <w:rPr>
          <w:rStyle w:val="FootnoteReference"/>
          <w:lang w:val="en-GB"/>
        </w:rPr>
        <w:footnoteReference w:id="8"/>
      </w:r>
      <w:r w:rsidRPr="006F7C1F">
        <w:rPr>
          <w:lang w:val="en-GB"/>
        </w:rPr>
        <w:t xml:space="preserve"> Georgia’s CSO registration process has been described as “rather user-friendly and cost effective”.</w:t>
      </w:r>
      <w:r w:rsidRPr="006F7C1F">
        <w:rPr>
          <w:rStyle w:val="FootnoteReference"/>
          <w:lang w:val="en-GB"/>
        </w:rPr>
        <w:footnoteReference w:id="9"/>
      </w:r>
    </w:p>
    <w:p w:rsidR="008C4C45" w:rsidRPr="006F7C1F" w:rsidRDefault="008C4C45" w:rsidP="006F7C1F">
      <w:pPr>
        <w:jc w:val="both"/>
        <w:rPr>
          <w:lang w:val="en-GB"/>
        </w:rPr>
      </w:pPr>
    </w:p>
    <w:p w:rsidR="008C4C45" w:rsidRPr="006F7C1F" w:rsidRDefault="008C4C45" w:rsidP="006F7C1F">
      <w:pPr>
        <w:jc w:val="both"/>
        <w:rPr>
          <w:lang w:val="en-GB"/>
        </w:rPr>
      </w:pPr>
      <w:r w:rsidRPr="006F7C1F">
        <w:rPr>
          <w:lang w:val="en-GB"/>
        </w:rPr>
        <w:t>CSOs are eligible for a number of tax exemptions under the existing law. While profit earned through commercial activities is subject to general taxation rules, funds obtained through non-commercial activities including grants, donations and membership fees are exempt from profit tax (although salaries paid through these funds are taxed), and goods imported within the scope of a grant agreement are exempt from VAT. CSOs are also exempt from property tax unless property is used for economic activities.</w:t>
      </w:r>
      <w:r w:rsidRPr="006F7C1F">
        <w:rPr>
          <w:rStyle w:val="FootnoteReference"/>
          <w:lang w:val="en-GB"/>
        </w:rPr>
        <w:footnoteReference w:id="10"/>
      </w:r>
    </w:p>
    <w:p w:rsidR="004A26AE" w:rsidRPr="006F7C1F" w:rsidRDefault="004A26AE" w:rsidP="006F7C1F">
      <w:pPr>
        <w:jc w:val="both"/>
        <w:rPr>
          <w:lang w:val="en-GB"/>
        </w:rPr>
      </w:pPr>
    </w:p>
    <w:p w:rsidR="004A26AE" w:rsidRPr="006F7C1F" w:rsidRDefault="004B2CC4" w:rsidP="006F7C1F">
      <w:pPr>
        <w:jc w:val="both"/>
        <w:rPr>
          <w:lang w:val="en-GB"/>
        </w:rPr>
      </w:pPr>
      <w:r w:rsidRPr="006F7C1F">
        <w:rPr>
          <w:lang w:val="en-GB"/>
        </w:rPr>
        <w:t>The</w:t>
      </w:r>
      <w:r w:rsidR="004A26AE" w:rsidRPr="006F7C1F">
        <w:rPr>
          <w:lang w:val="en-GB"/>
        </w:rPr>
        <w:t xml:space="preserve"> tax code adopted in September 2010 does not prolong the positive-discrimination incom</w:t>
      </w:r>
      <w:r w:rsidR="008C4C45" w:rsidRPr="006F7C1F">
        <w:rPr>
          <w:lang w:val="en-GB"/>
        </w:rPr>
        <w:t>e tax rates that CSOs previously enjoyed</w:t>
      </w:r>
      <w:r w:rsidR="004A26AE" w:rsidRPr="006F7C1F">
        <w:rPr>
          <w:lang w:val="en-GB"/>
        </w:rPr>
        <w:t>, whereby businesse</w:t>
      </w:r>
      <w:r w:rsidRPr="006F7C1F">
        <w:rPr>
          <w:lang w:val="en-GB"/>
        </w:rPr>
        <w:t>s were subject to a 20 percent</w:t>
      </w:r>
      <w:r w:rsidR="004A26AE" w:rsidRPr="006F7C1F">
        <w:rPr>
          <w:lang w:val="en-GB"/>
        </w:rPr>
        <w:t xml:space="preserve"> tax rate</w:t>
      </w:r>
      <w:r w:rsidRPr="006F7C1F">
        <w:rPr>
          <w:lang w:val="en-GB"/>
        </w:rPr>
        <w:t xml:space="preserve"> on salaries</w:t>
      </w:r>
      <w:r w:rsidR="004A26AE" w:rsidRPr="006F7C1F">
        <w:rPr>
          <w:lang w:val="en-GB"/>
        </w:rPr>
        <w:t xml:space="preserve"> and CSOs to a 12 percent rate. From 2011, CSOs must also pay a 20 percent tax</w:t>
      </w:r>
      <w:r w:rsidR="008C4C45" w:rsidRPr="006F7C1F">
        <w:rPr>
          <w:lang w:val="en-GB"/>
        </w:rPr>
        <w:t xml:space="preserve"> on salaries</w:t>
      </w:r>
      <w:r w:rsidR="004B19AC" w:rsidRPr="006F7C1F">
        <w:rPr>
          <w:lang w:val="en-GB"/>
        </w:rPr>
        <w:t>.</w:t>
      </w:r>
      <w:r w:rsidR="004A26AE" w:rsidRPr="006F7C1F">
        <w:rPr>
          <w:lang w:val="en-GB"/>
        </w:rPr>
        <w:t xml:space="preserve"> </w:t>
      </w:r>
      <w:r w:rsidR="008C4C45" w:rsidRPr="006F7C1F">
        <w:rPr>
          <w:lang w:val="en-GB"/>
        </w:rPr>
        <w:t>This move to higher rates was envisioned in the 1997 tax code and should not be seen as a move to put undue pressure on access to resources. Between 2011-2014, this</w:t>
      </w:r>
      <w:r w:rsidR="004A26AE" w:rsidRPr="006F7C1F">
        <w:rPr>
          <w:lang w:val="en-GB"/>
        </w:rPr>
        <w:t xml:space="preserve"> rate </w:t>
      </w:r>
      <w:r w:rsidR="004B19AC" w:rsidRPr="006F7C1F">
        <w:rPr>
          <w:lang w:val="en-GB"/>
        </w:rPr>
        <w:t>is forecast</w:t>
      </w:r>
      <w:r w:rsidR="004A26AE" w:rsidRPr="006F7C1F">
        <w:rPr>
          <w:lang w:val="en-GB"/>
        </w:rPr>
        <w:t xml:space="preserve"> </w:t>
      </w:r>
      <w:r w:rsidR="004B19AC" w:rsidRPr="006F7C1F">
        <w:rPr>
          <w:lang w:val="en-GB"/>
        </w:rPr>
        <w:t xml:space="preserve">to </w:t>
      </w:r>
      <w:r w:rsidR="004A26AE" w:rsidRPr="006F7C1F">
        <w:rPr>
          <w:lang w:val="en-GB"/>
        </w:rPr>
        <w:t>gradually decrease until it hits 15 percent.</w:t>
      </w:r>
      <w:r w:rsidR="008C4C45" w:rsidRPr="006F7C1F">
        <w:rPr>
          <w:lang w:val="en-GB"/>
        </w:rPr>
        <w:t xml:space="preserve"> CSOs are expected to</w:t>
      </w:r>
      <w:r w:rsidR="004A26AE" w:rsidRPr="006F7C1F">
        <w:rPr>
          <w:lang w:val="en-GB"/>
        </w:rPr>
        <w:t xml:space="preserve"> retain their VAT exemption and grants will not be taxed as income, as </w:t>
      </w:r>
      <w:r w:rsidR="004B19AC" w:rsidRPr="006F7C1F">
        <w:rPr>
          <w:lang w:val="en-GB"/>
        </w:rPr>
        <w:t>before</w:t>
      </w:r>
      <w:r w:rsidR="004A26AE" w:rsidRPr="006F7C1F">
        <w:rPr>
          <w:lang w:val="en-GB"/>
        </w:rPr>
        <w:t>.</w:t>
      </w:r>
      <w:r w:rsidR="004A26AE" w:rsidRPr="006F7C1F">
        <w:rPr>
          <w:rStyle w:val="FootnoteReference"/>
          <w:lang w:val="en-GB"/>
        </w:rPr>
        <w:footnoteReference w:id="11"/>
      </w:r>
    </w:p>
    <w:p w:rsidR="008C4C45" w:rsidRPr="006F7C1F" w:rsidRDefault="008C4C45" w:rsidP="006F7C1F">
      <w:pPr>
        <w:jc w:val="both"/>
        <w:rPr>
          <w:lang w:val="en-GB"/>
        </w:rPr>
      </w:pPr>
    </w:p>
    <w:p w:rsidR="008C4C45" w:rsidRPr="006F7C1F" w:rsidRDefault="008C4C45" w:rsidP="006F7C1F">
      <w:pPr>
        <w:jc w:val="both"/>
        <w:rPr>
          <w:lang w:val="en-GB"/>
        </w:rPr>
      </w:pPr>
      <w:r w:rsidRPr="006F7C1F">
        <w:rPr>
          <w:lang w:val="en-GB"/>
        </w:rPr>
        <w:t xml:space="preserve">Provisions for businesses or private philanthropic individuals to make tax deductible donations to CSOs are </w:t>
      </w:r>
      <w:r w:rsidR="004B2CC4" w:rsidRPr="006F7C1F">
        <w:rPr>
          <w:lang w:val="en-GB"/>
        </w:rPr>
        <w:t>not comprehensive</w:t>
      </w:r>
      <w:r w:rsidRPr="006F7C1F">
        <w:rPr>
          <w:lang w:val="en-GB"/>
        </w:rPr>
        <w:t xml:space="preserve">. A CSO must be a registered charity to accept tax-deductible donations, and businesses making such donations </w:t>
      </w:r>
      <w:r w:rsidR="009D7680" w:rsidRPr="006F7C1F">
        <w:rPr>
          <w:lang w:val="en-GB"/>
        </w:rPr>
        <w:t>may</w:t>
      </w:r>
      <w:r w:rsidRPr="006F7C1F">
        <w:rPr>
          <w:lang w:val="en-GB"/>
        </w:rPr>
        <w:t xml:space="preserve"> claim a deduction of up to ten percent of their total </w:t>
      </w:r>
      <w:r w:rsidR="009D7680" w:rsidRPr="006F7C1F">
        <w:rPr>
          <w:lang w:val="en-GB"/>
        </w:rPr>
        <w:t>income</w:t>
      </w:r>
      <w:r w:rsidRPr="006F7C1F">
        <w:rPr>
          <w:lang w:val="en-GB"/>
        </w:rPr>
        <w:t xml:space="preserve"> – a two percent increase over the previous tax code.</w:t>
      </w:r>
      <w:r w:rsidRPr="006F7C1F">
        <w:rPr>
          <w:rStyle w:val="FootnoteReference"/>
          <w:lang w:val="en-GB"/>
        </w:rPr>
        <w:footnoteReference w:id="12"/>
      </w:r>
      <w:r w:rsidRPr="006F7C1F">
        <w:rPr>
          <w:lang w:val="en-GB"/>
        </w:rPr>
        <w:t xml:space="preserve"> Significantly, there are no provisions in place to allow individuals to make tax deductible donations.</w:t>
      </w:r>
    </w:p>
    <w:p w:rsidR="005103A7" w:rsidRPr="006F7C1F" w:rsidRDefault="005103A7" w:rsidP="006F7C1F">
      <w:pPr>
        <w:jc w:val="both"/>
        <w:rPr>
          <w:lang w:val="en-GB"/>
        </w:rPr>
      </w:pPr>
    </w:p>
    <w:p w:rsidR="00960D56" w:rsidRPr="006F7C1F" w:rsidRDefault="005103A7" w:rsidP="006F7C1F">
      <w:pPr>
        <w:jc w:val="both"/>
        <w:rPr>
          <w:lang w:val="en-US"/>
        </w:rPr>
      </w:pPr>
      <w:r w:rsidRPr="006F7C1F">
        <w:rPr>
          <w:lang w:val="en-GB"/>
        </w:rPr>
        <w:t xml:space="preserve">While the legal framework does not set up any significant hurdles to the </w:t>
      </w:r>
      <w:r w:rsidR="008C4C45" w:rsidRPr="006F7C1F">
        <w:rPr>
          <w:lang w:val="en-GB"/>
        </w:rPr>
        <w:t xml:space="preserve">financial </w:t>
      </w:r>
      <w:r w:rsidRPr="006F7C1F">
        <w:rPr>
          <w:lang w:val="en-GB"/>
        </w:rPr>
        <w:t xml:space="preserve">operation of CSOs, it </w:t>
      </w:r>
      <w:r w:rsidR="00034A3D" w:rsidRPr="006F7C1F">
        <w:rPr>
          <w:lang w:val="en-GB"/>
        </w:rPr>
        <w:t xml:space="preserve">also </w:t>
      </w:r>
      <w:r w:rsidRPr="006F7C1F">
        <w:rPr>
          <w:lang w:val="en-GB"/>
        </w:rPr>
        <w:t xml:space="preserve">does not </w:t>
      </w:r>
      <w:r w:rsidR="000C6C31" w:rsidRPr="006F7C1F">
        <w:rPr>
          <w:lang w:val="en-GB"/>
        </w:rPr>
        <w:t>provide special assistance to</w:t>
      </w:r>
      <w:r w:rsidRPr="006F7C1F">
        <w:rPr>
          <w:lang w:val="en-GB"/>
        </w:rPr>
        <w:t xml:space="preserve"> enabl</w:t>
      </w:r>
      <w:r w:rsidR="00034A3D" w:rsidRPr="006F7C1F">
        <w:rPr>
          <w:lang w:val="en-GB"/>
        </w:rPr>
        <w:t>e</w:t>
      </w:r>
      <w:r w:rsidRPr="006F7C1F">
        <w:rPr>
          <w:lang w:val="en-GB"/>
        </w:rPr>
        <w:t xml:space="preserve"> the third sector to </w:t>
      </w:r>
      <w:r w:rsidR="004B2CC4" w:rsidRPr="006F7C1F">
        <w:rPr>
          <w:lang w:val="en-GB"/>
        </w:rPr>
        <w:t>make progress towards</w:t>
      </w:r>
      <w:r w:rsidRPr="006F7C1F">
        <w:rPr>
          <w:lang w:val="en-GB"/>
        </w:rPr>
        <w:t xml:space="preserve"> financial independence, especially </w:t>
      </w:r>
      <w:r w:rsidR="000C6C31" w:rsidRPr="006F7C1F">
        <w:rPr>
          <w:lang w:val="en-GB"/>
        </w:rPr>
        <w:t>in regard to</w:t>
      </w:r>
      <w:r w:rsidRPr="006F7C1F">
        <w:rPr>
          <w:lang w:val="en-GB"/>
        </w:rPr>
        <w:t xml:space="preserve"> tax-related exemptions. </w:t>
      </w:r>
      <w:r w:rsidR="004B19AC" w:rsidRPr="006F7C1F">
        <w:rPr>
          <w:lang w:val="en-GB"/>
        </w:rPr>
        <w:t>I</w:t>
      </w:r>
      <w:r w:rsidR="00BA618C" w:rsidRPr="006F7C1F">
        <w:rPr>
          <w:lang w:val="en-GB"/>
        </w:rPr>
        <w:t>ncentives to encourage domestic philanthropy</w:t>
      </w:r>
      <w:r w:rsidR="004B19AC" w:rsidRPr="006F7C1F">
        <w:rPr>
          <w:lang w:val="en-GB"/>
        </w:rPr>
        <w:t xml:space="preserve"> are weak</w:t>
      </w:r>
      <w:r w:rsidR="00BA618C" w:rsidRPr="006F7C1F">
        <w:rPr>
          <w:lang w:val="en-GB"/>
        </w:rPr>
        <w:t xml:space="preserve">, even though funding from foreign sources has preferential treatment </w:t>
      </w:r>
      <w:r w:rsidR="00161B3E" w:rsidRPr="006F7C1F">
        <w:rPr>
          <w:lang w:val="en-GB"/>
        </w:rPr>
        <w:t>when it comes to taxation.</w:t>
      </w:r>
      <w:r w:rsidR="00E36052" w:rsidRPr="006F7C1F">
        <w:rPr>
          <w:lang w:val="en-GB"/>
        </w:rPr>
        <w:t xml:space="preserve"> </w:t>
      </w:r>
      <w:r w:rsidR="00EE37D1" w:rsidRPr="006F7C1F">
        <w:rPr>
          <w:lang w:val="en-GB"/>
        </w:rPr>
        <w:t>The International Center for Non-Profit Law (ICNL) noted that, “</w:t>
      </w:r>
      <w:r w:rsidR="00960D56" w:rsidRPr="006F7C1F">
        <w:rPr>
          <w:rStyle w:val="apple-style-span"/>
          <w:color w:val="333333"/>
        </w:rPr>
        <w:t>Despite the income tax deduction provision, there appear to be a number of legal obstacles that make charity an expensive and risky activity for businesses, thus limiting the availability of private philanthropy as a source of sustainable funding for NGOs.</w:t>
      </w:r>
      <w:r w:rsidR="00EE37D1" w:rsidRPr="006F7C1F">
        <w:rPr>
          <w:rStyle w:val="apple-style-span"/>
          <w:color w:val="333333"/>
          <w:lang w:val="en-US"/>
        </w:rPr>
        <w:t>”</w:t>
      </w:r>
      <w:r w:rsidR="00AE6965" w:rsidRPr="006F7C1F">
        <w:rPr>
          <w:lang w:val="en-US"/>
        </w:rPr>
        <w:t xml:space="preserve"> </w:t>
      </w:r>
      <w:r w:rsidR="00707DB0" w:rsidRPr="006F7C1F">
        <w:rPr>
          <w:lang w:val="en-GB"/>
        </w:rPr>
        <w:t>There are also no legislative regulations that would promote the operation of social enterprises o</w:t>
      </w:r>
      <w:r w:rsidR="004B19AC" w:rsidRPr="006F7C1F">
        <w:rPr>
          <w:lang w:val="en-GB"/>
        </w:rPr>
        <w:t>r community interest companies – those that operate in the public interest at low profit margins.</w:t>
      </w:r>
      <w:r w:rsidR="00AE6965" w:rsidRPr="006F7C1F">
        <w:rPr>
          <w:lang w:val="en-GB"/>
        </w:rPr>
        <w:t xml:space="preserve"> ICNL’s preliminary research also found that </w:t>
      </w:r>
      <w:r w:rsidR="00960D56" w:rsidRPr="006F7C1F">
        <w:rPr>
          <w:lang w:val="en-GB"/>
        </w:rPr>
        <w:t>Georgian NGOs wishing to conduct fee-for-service activities may be subject to less favourable tax rules than small businesses</w:t>
      </w:r>
      <w:r w:rsidR="00AE6965" w:rsidRPr="006F7C1F">
        <w:rPr>
          <w:lang w:val="en-GB"/>
        </w:rPr>
        <w:t>,</w:t>
      </w:r>
      <w:r w:rsidR="00960D56" w:rsidRPr="006F7C1F">
        <w:rPr>
          <w:lang w:val="en-GB"/>
        </w:rPr>
        <w:t xml:space="preserve"> and</w:t>
      </w:r>
      <w:r w:rsidR="00AE6965" w:rsidRPr="006F7C1F">
        <w:rPr>
          <w:lang w:val="en-GB"/>
        </w:rPr>
        <w:t xml:space="preserve"> that</w:t>
      </w:r>
      <w:r w:rsidR="00960D56" w:rsidRPr="006F7C1F">
        <w:rPr>
          <w:lang w:val="en-GB"/>
        </w:rPr>
        <w:t xml:space="preserve"> the legislative framework </w:t>
      </w:r>
      <w:r w:rsidR="00AE6965" w:rsidRPr="006F7C1F">
        <w:rPr>
          <w:lang w:val="en-GB"/>
        </w:rPr>
        <w:t>covering this area of NGO activity</w:t>
      </w:r>
      <w:r w:rsidR="00960D56" w:rsidRPr="006F7C1F">
        <w:rPr>
          <w:lang w:val="en-GB"/>
        </w:rPr>
        <w:t xml:space="preserve"> is not entirely clear.</w:t>
      </w:r>
      <w:r w:rsidR="00960D56" w:rsidRPr="006F7C1F">
        <w:rPr>
          <w:rStyle w:val="FootnoteReference"/>
          <w:lang w:val="en-GB"/>
        </w:rPr>
        <w:footnoteReference w:id="13"/>
      </w:r>
    </w:p>
    <w:p w:rsidR="00960D56" w:rsidRPr="006F7C1F" w:rsidRDefault="00960D56" w:rsidP="006F7C1F">
      <w:pPr>
        <w:jc w:val="both"/>
        <w:rPr>
          <w:lang w:val="en-GB"/>
        </w:rPr>
      </w:pPr>
    </w:p>
    <w:p w:rsidR="005103A7" w:rsidRPr="006F7C1F" w:rsidRDefault="005103A7" w:rsidP="006F7C1F">
      <w:pPr>
        <w:jc w:val="both"/>
        <w:rPr>
          <w:b/>
          <w:lang w:val="en-GB"/>
        </w:rPr>
      </w:pPr>
    </w:p>
    <w:p w:rsidR="005103A7" w:rsidRPr="006F7C1F" w:rsidRDefault="005103A7" w:rsidP="006F7C1F">
      <w:pPr>
        <w:jc w:val="both"/>
        <w:rPr>
          <w:b/>
          <w:lang w:val="en-GB"/>
        </w:rPr>
      </w:pPr>
      <w:r w:rsidRPr="006F7C1F">
        <w:rPr>
          <w:b/>
          <w:lang w:val="en-GB"/>
        </w:rPr>
        <w:t>Resources (practice)</w:t>
      </w:r>
    </w:p>
    <w:p w:rsidR="005103A7" w:rsidRPr="006F7C1F" w:rsidRDefault="006F7C1F" w:rsidP="006F7C1F">
      <w:pPr>
        <w:jc w:val="both"/>
        <w:rPr>
          <w:lang w:val="en-GB"/>
        </w:rPr>
      </w:pPr>
      <w:r w:rsidRPr="006F7C1F">
        <w:rPr>
          <w:lang w:val="en-GB"/>
        </w:rPr>
        <w:lastRenderedPageBreak/>
        <w:t>Score: 25</w:t>
      </w:r>
    </w:p>
    <w:p w:rsidR="005103A7" w:rsidRPr="006F7C1F" w:rsidRDefault="005103A7" w:rsidP="006F7C1F">
      <w:pPr>
        <w:jc w:val="both"/>
        <w:rPr>
          <w:lang w:val="en-GB"/>
        </w:rPr>
      </w:pPr>
    </w:p>
    <w:p w:rsidR="005103A7" w:rsidRPr="006F7C1F" w:rsidRDefault="005103A7" w:rsidP="006F7C1F">
      <w:pPr>
        <w:jc w:val="both"/>
        <w:rPr>
          <w:i/>
          <w:lang w:val="en-GB"/>
        </w:rPr>
      </w:pPr>
      <w:r w:rsidRPr="006F7C1F">
        <w:rPr>
          <w:i/>
          <w:lang w:val="en-GB"/>
        </w:rPr>
        <w:t>To what extent do CSOs have adequate financial and human resources to function and operate effectively?</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Georgian CSOs lack diverse sources of funding. They rely almost exclusively on foreign donor assistance </w:t>
      </w:r>
      <w:r w:rsidR="00BB16D0" w:rsidRPr="006F7C1F">
        <w:rPr>
          <w:lang w:val="en-GB"/>
        </w:rPr>
        <w:t>because</w:t>
      </w:r>
      <w:r w:rsidR="00FE12D5" w:rsidRPr="006F7C1F">
        <w:rPr>
          <w:lang w:val="en-GB"/>
        </w:rPr>
        <w:t xml:space="preserve"> </w:t>
      </w:r>
      <w:r w:rsidRPr="006F7C1F">
        <w:rPr>
          <w:lang w:val="en-GB"/>
        </w:rPr>
        <w:t xml:space="preserve">there is </w:t>
      </w:r>
      <w:r w:rsidR="00BB16D0" w:rsidRPr="006F7C1F">
        <w:rPr>
          <w:lang w:val="en-GB"/>
        </w:rPr>
        <w:t xml:space="preserve">almost no public </w:t>
      </w:r>
      <w:r w:rsidRPr="006F7C1F">
        <w:rPr>
          <w:lang w:val="en-GB"/>
        </w:rPr>
        <w:t>money available, and</w:t>
      </w:r>
      <w:r w:rsidR="00FE12D5" w:rsidRPr="006F7C1F">
        <w:rPr>
          <w:lang w:val="en-GB"/>
        </w:rPr>
        <w:t xml:space="preserve"> </w:t>
      </w:r>
      <w:r w:rsidRPr="006F7C1F">
        <w:rPr>
          <w:lang w:val="en-GB"/>
        </w:rPr>
        <w:t xml:space="preserve">philanthropy – both corporate and individual – is </w:t>
      </w:r>
      <w:r w:rsidR="00BB16D0" w:rsidRPr="006F7C1F">
        <w:rPr>
          <w:lang w:val="en-GB"/>
        </w:rPr>
        <w:t>not yet a significant potential source of income for most CSOs</w:t>
      </w:r>
      <w:r w:rsidRPr="006F7C1F">
        <w:rPr>
          <w:lang w:val="en-GB"/>
        </w:rPr>
        <w:t>. Contributions from a constituency or membership base are likewise rare. Because of inadequate funding, many CSOs find it difficult to</w:t>
      </w:r>
      <w:r w:rsidR="00FE12D5" w:rsidRPr="006F7C1F">
        <w:rPr>
          <w:lang w:val="en-GB"/>
        </w:rPr>
        <w:t xml:space="preserve"> </w:t>
      </w:r>
      <w:r w:rsidRPr="006F7C1F">
        <w:rPr>
          <w:lang w:val="en-GB"/>
        </w:rPr>
        <w:t>retain</w:t>
      </w:r>
      <w:r w:rsidR="00BB16D0" w:rsidRPr="006F7C1F">
        <w:rPr>
          <w:lang w:val="en-GB"/>
        </w:rPr>
        <w:t xml:space="preserve"> and train</w:t>
      </w:r>
      <w:r w:rsidRPr="006F7C1F">
        <w:rPr>
          <w:lang w:val="en-GB"/>
        </w:rPr>
        <w:t xml:space="preserve"> professional staff</w:t>
      </w:r>
      <w:r w:rsidR="005B46D3" w:rsidRPr="006F7C1F">
        <w:rPr>
          <w:lang w:val="en-GB"/>
        </w:rPr>
        <w:t xml:space="preserve"> or to set their own priorities</w:t>
      </w:r>
      <w:r w:rsidRPr="006F7C1F">
        <w:rPr>
          <w:lang w:val="en-GB"/>
        </w:rPr>
        <w:t xml:space="preserve">. There is also a considerable gap between regional CSOs and those based in the capital in terms of their access to funding and </w:t>
      </w:r>
      <w:r w:rsidR="008C17ED" w:rsidRPr="006F7C1F">
        <w:rPr>
          <w:lang w:val="en-GB"/>
        </w:rPr>
        <w:t>human</w:t>
      </w:r>
      <w:r w:rsidRPr="006F7C1F">
        <w:rPr>
          <w:lang w:val="en-GB"/>
        </w:rPr>
        <w:t xml:space="preserve"> resources.</w:t>
      </w:r>
    </w:p>
    <w:p w:rsidR="005103A7" w:rsidRPr="006F7C1F" w:rsidRDefault="005103A7" w:rsidP="006F7C1F">
      <w:pPr>
        <w:jc w:val="both"/>
        <w:rPr>
          <w:lang w:val="en-GB"/>
        </w:rPr>
      </w:pPr>
    </w:p>
    <w:p w:rsidR="00A62C59" w:rsidRPr="006F7C1F" w:rsidRDefault="00013449" w:rsidP="006F7C1F">
      <w:pPr>
        <w:jc w:val="both"/>
        <w:rPr>
          <w:lang w:val="en-GB"/>
        </w:rPr>
      </w:pPr>
      <w:r w:rsidRPr="006F7C1F">
        <w:rPr>
          <w:lang w:val="en-GB"/>
        </w:rPr>
        <w:t>CSOs are largely dependent on foreign donors for funding. According to USAID’s 2009 report, 95 percent of NGO funding comes from foreign donors. However several more recent studies suggest that, while NGOs are far from self-sustaining, many have made progress in diversifying their funding sources. For example, one study of 100 CSOs in Georgia found that 55 percent of those interviewed received 70 perce</w:t>
      </w:r>
      <w:r w:rsidR="006E5F43" w:rsidRPr="006F7C1F">
        <w:rPr>
          <w:lang w:val="en-GB"/>
        </w:rPr>
        <w:t>nt or more of their funding via foreign donors; but 41</w:t>
      </w:r>
      <w:r w:rsidRPr="006F7C1F">
        <w:rPr>
          <w:lang w:val="en-GB"/>
        </w:rPr>
        <w:t xml:space="preserve"> percent </w:t>
      </w:r>
      <w:r w:rsidR="006E5F43" w:rsidRPr="006F7C1F">
        <w:rPr>
          <w:lang w:val="en-GB"/>
        </w:rPr>
        <w:t>of those surveyed earned</w:t>
      </w:r>
      <w:r w:rsidRPr="006F7C1F">
        <w:rPr>
          <w:lang w:val="en-GB"/>
        </w:rPr>
        <w:t xml:space="preserve"> </w:t>
      </w:r>
      <w:r w:rsidR="00001DAA" w:rsidRPr="006F7C1F">
        <w:rPr>
          <w:lang w:val="en-GB"/>
        </w:rPr>
        <w:t>half</w:t>
      </w:r>
      <w:r w:rsidRPr="006F7C1F">
        <w:rPr>
          <w:lang w:val="en-GB"/>
        </w:rPr>
        <w:t xml:space="preserve"> </w:t>
      </w:r>
      <w:r w:rsidR="00001DAA" w:rsidRPr="006F7C1F">
        <w:rPr>
          <w:lang w:val="en-GB"/>
        </w:rPr>
        <w:t xml:space="preserve">or more </w:t>
      </w:r>
      <w:r w:rsidRPr="006F7C1F">
        <w:rPr>
          <w:lang w:val="en-GB"/>
        </w:rPr>
        <w:t>of the</w:t>
      </w:r>
      <w:r w:rsidR="006E5F43" w:rsidRPr="006F7C1F">
        <w:rPr>
          <w:lang w:val="en-GB"/>
        </w:rPr>
        <w:t xml:space="preserve">ir </w:t>
      </w:r>
      <w:r w:rsidR="00001DAA" w:rsidRPr="006F7C1F">
        <w:rPr>
          <w:lang w:val="en-GB"/>
        </w:rPr>
        <w:t>annual budgets</w:t>
      </w:r>
      <w:r w:rsidRPr="006F7C1F">
        <w:rPr>
          <w:lang w:val="en-GB"/>
        </w:rPr>
        <w:t xml:space="preserve"> from </w:t>
      </w:r>
      <w:r w:rsidR="00001DAA" w:rsidRPr="006F7C1F">
        <w:rPr>
          <w:lang w:val="en-GB"/>
        </w:rPr>
        <w:t>other sources</w:t>
      </w:r>
      <w:r w:rsidRPr="006F7C1F">
        <w:rPr>
          <w:lang w:val="en-GB"/>
        </w:rPr>
        <w:t>.</w:t>
      </w:r>
      <w:r w:rsidR="00AC30C4" w:rsidRPr="006F7C1F">
        <w:rPr>
          <w:rStyle w:val="FootnoteReference"/>
          <w:lang w:val="en-GB"/>
        </w:rPr>
        <w:footnoteReference w:id="14"/>
      </w:r>
      <w:r w:rsidR="006E5F43" w:rsidRPr="006F7C1F">
        <w:rPr>
          <w:lang w:val="en-GB"/>
        </w:rPr>
        <w:t xml:space="preserve"> Another 2010 survey of 287 CSOs </w:t>
      </w:r>
      <w:r w:rsidR="005F6AC1" w:rsidRPr="006F7C1F">
        <w:rPr>
          <w:lang w:val="en-GB"/>
        </w:rPr>
        <w:t xml:space="preserve">found that the financial resources of CSOs increased over 2005 levels, </w:t>
      </w:r>
      <w:r w:rsidR="00740093" w:rsidRPr="006F7C1F">
        <w:rPr>
          <w:lang w:val="en-GB"/>
        </w:rPr>
        <w:t>with larger increases among the regional-based CSOs compared with those based in Tbilisi</w:t>
      </w:r>
      <w:r w:rsidR="005F6AC1" w:rsidRPr="006F7C1F">
        <w:rPr>
          <w:lang w:val="en-GB"/>
        </w:rPr>
        <w:t>.</w:t>
      </w:r>
      <w:r w:rsidR="00001DAA" w:rsidRPr="006F7C1F">
        <w:rPr>
          <w:rStyle w:val="FootnoteReference"/>
          <w:lang w:val="en-GB"/>
        </w:rPr>
        <w:footnoteReference w:id="15"/>
      </w:r>
      <w:r w:rsidR="006579D2" w:rsidRPr="006F7C1F">
        <w:rPr>
          <w:lang w:val="en-GB"/>
        </w:rPr>
        <w:t xml:space="preserve"> However, Tbilisi-based NGOs still implemented 2.5 times more projects than did regional-based NGOs </w:t>
      </w:r>
      <w:r w:rsidR="00000CE5" w:rsidRPr="006F7C1F">
        <w:rPr>
          <w:lang w:val="en-GB"/>
        </w:rPr>
        <w:t>during the same five-year period</w:t>
      </w:r>
      <w:r w:rsidR="006579D2" w:rsidRPr="006F7C1F">
        <w:rPr>
          <w:lang w:val="en-GB"/>
        </w:rPr>
        <w:t>.</w:t>
      </w:r>
      <w:r w:rsidR="006579D2" w:rsidRPr="006F7C1F">
        <w:rPr>
          <w:rStyle w:val="FootnoteReference"/>
          <w:lang w:val="en-GB"/>
        </w:rPr>
        <w:footnoteReference w:id="16"/>
      </w:r>
      <w:r w:rsidR="00F20B99" w:rsidRPr="006F7C1F">
        <w:rPr>
          <w:lang w:val="en-GB"/>
        </w:rPr>
        <w:t xml:space="preserve"> The heavy reliance on donor financing makes it difficult for CSOs to pursue their own priorities, sometimes even operating in fields outside their area of competence in order to maintain staff and operational financing.</w:t>
      </w:r>
      <w:r w:rsidR="00AC30C4" w:rsidRPr="006F7C1F">
        <w:rPr>
          <w:rStyle w:val="FootnoteReference"/>
          <w:lang w:val="en-GB"/>
        </w:rPr>
        <w:footnoteReference w:id="17"/>
      </w:r>
    </w:p>
    <w:p w:rsidR="00013449" w:rsidRPr="006F7C1F" w:rsidRDefault="00013449" w:rsidP="006F7C1F">
      <w:pPr>
        <w:jc w:val="both"/>
        <w:rPr>
          <w:lang w:val="en-GB"/>
        </w:rPr>
      </w:pPr>
    </w:p>
    <w:p w:rsidR="00D07B8E" w:rsidRPr="006F7C1F" w:rsidRDefault="006579D2" w:rsidP="006F7C1F">
      <w:pPr>
        <w:jc w:val="both"/>
        <w:rPr>
          <w:lang w:val="en-GB"/>
        </w:rPr>
      </w:pPr>
      <w:r w:rsidRPr="006F7C1F">
        <w:rPr>
          <w:lang w:val="en-GB"/>
        </w:rPr>
        <w:t>The evidence on CSO income from othe</w:t>
      </w:r>
      <w:r w:rsidR="00000CE5" w:rsidRPr="006F7C1F">
        <w:rPr>
          <w:lang w:val="en-GB"/>
        </w:rPr>
        <w:t>r (non-foreign donor) sources paints a</w:t>
      </w:r>
      <w:r w:rsidRPr="006F7C1F">
        <w:rPr>
          <w:lang w:val="en-GB"/>
        </w:rPr>
        <w:t xml:space="preserve"> mixed</w:t>
      </w:r>
      <w:r w:rsidR="00000CE5" w:rsidRPr="006F7C1F">
        <w:rPr>
          <w:lang w:val="en-GB"/>
        </w:rPr>
        <w:t xml:space="preserve"> picture</w:t>
      </w:r>
      <w:r w:rsidRPr="006F7C1F">
        <w:rPr>
          <w:lang w:val="en-GB"/>
        </w:rPr>
        <w:t xml:space="preserve">. </w:t>
      </w:r>
      <w:r w:rsidR="00F20B99" w:rsidRPr="006F7C1F">
        <w:rPr>
          <w:lang w:val="en-GB"/>
        </w:rPr>
        <w:t>G</w:t>
      </w:r>
      <w:r w:rsidRPr="006F7C1F">
        <w:rPr>
          <w:lang w:val="en-GB"/>
        </w:rPr>
        <w:t xml:space="preserve">overnment grants and private philanthropy are </w:t>
      </w:r>
      <w:r w:rsidR="00F20B99" w:rsidRPr="006F7C1F">
        <w:rPr>
          <w:lang w:val="en-GB"/>
        </w:rPr>
        <w:t xml:space="preserve">reported to be </w:t>
      </w:r>
      <w:r w:rsidRPr="006F7C1F">
        <w:rPr>
          <w:lang w:val="en-GB"/>
        </w:rPr>
        <w:t>“nearly nonexistent” in the country</w:t>
      </w:r>
      <w:r w:rsidR="00D07B8E" w:rsidRPr="006F7C1F">
        <w:rPr>
          <w:lang w:val="en-GB"/>
        </w:rPr>
        <w:t>.</w:t>
      </w:r>
      <w:r w:rsidRPr="006F7C1F">
        <w:rPr>
          <w:rStyle w:val="FootnoteReference"/>
          <w:lang w:val="en-GB"/>
        </w:rPr>
        <w:footnoteReference w:id="18"/>
      </w:r>
      <w:r w:rsidRPr="006F7C1F">
        <w:rPr>
          <w:lang w:val="en-GB"/>
        </w:rPr>
        <w:t xml:space="preserve"> </w:t>
      </w:r>
      <w:r w:rsidR="00D07B8E" w:rsidRPr="006F7C1F">
        <w:rPr>
          <w:lang w:val="en-GB"/>
        </w:rPr>
        <w:t xml:space="preserve">While </w:t>
      </w:r>
      <w:r w:rsidR="00000CE5" w:rsidRPr="006F7C1F">
        <w:rPr>
          <w:lang w:val="en-GB"/>
        </w:rPr>
        <w:t xml:space="preserve">a </w:t>
      </w:r>
      <w:r w:rsidR="00F20B99" w:rsidRPr="006F7C1F">
        <w:rPr>
          <w:lang w:val="en-GB"/>
        </w:rPr>
        <w:t>2010</w:t>
      </w:r>
      <w:r w:rsidR="00000CE5" w:rsidRPr="006F7C1F">
        <w:rPr>
          <w:lang w:val="en-GB"/>
        </w:rPr>
        <w:t xml:space="preserve"> study</w:t>
      </w:r>
      <w:r w:rsidRPr="006F7C1F">
        <w:rPr>
          <w:lang w:val="en-GB"/>
        </w:rPr>
        <w:t xml:space="preserve"> suggest</w:t>
      </w:r>
      <w:r w:rsidR="00000CE5" w:rsidRPr="006F7C1F">
        <w:rPr>
          <w:lang w:val="en-GB"/>
        </w:rPr>
        <w:t>s</w:t>
      </w:r>
      <w:r w:rsidR="00740093" w:rsidRPr="006F7C1F">
        <w:rPr>
          <w:lang w:val="en-GB"/>
        </w:rPr>
        <w:t xml:space="preserve"> that </w:t>
      </w:r>
      <w:r w:rsidR="00000CE5" w:rsidRPr="006F7C1F">
        <w:rPr>
          <w:lang w:val="en-GB"/>
        </w:rPr>
        <w:t xml:space="preserve">CSO </w:t>
      </w:r>
      <w:r w:rsidRPr="006F7C1F">
        <w:rPr>
          <w:lang w:val="en-GB"/>
        </w:rPr>
        <w:t>income from the state (grants and service contracts) increased slightly between 2005</w:t>
      </w:r>
      <w:r w:rsidR="00D07B8E" w:rsidRPr="006F7C1F">
        <w:rPr>
          <w:lang w:val="en-GB"/>
        </w:rPr>
        <w:t>-2010, another study found that</w:t>
      </w:r>
      <w:r w:rsidRPr="006F7C1F">
        <w:rPr>
          <w:lang w:val="en-GB"/>
        </w:rPr>
        <w:t xml:space="preserve"> </w:t>
      </w:r>
      <w:r w:rsidR="00D07B8E" w:rsidRPr="006F7C1F">
        <w:rPr>
          <w:lang w:val="en-GB"/>
        </w:rPr>
        <w:t>only three of the 101 organizations interviewed had received state funding, and only 13 had received some kind of income through state procurements.</w:t>
      </w:r>
      <w:r w:rsidR="00D07B8E" w:rsidRPr="006F7C1F">
        <w:rPr>
          <w:rStyle w:val="FootnoteReference"/>
          <w:lang w:val="en-GB"/>
        </w:rPr>
        <w:footnoteReference w:id="19"/>
      </w:r>
      <w:r w:rsidR="00F20B99" w:rsidRPr="006F7C1F">
        <w:rPr>
          <w:lang w:val="en-GB"/>
        </w:rPr>
        <w:t xml:space="preserve"> </w:t>
      </w:r>
    </w:p>
    <w:p w:rsidR="00D07B8E" w:rsidRPr="006F7C1F" w:rsidRDefault="00D07B8E" w:rsidP="006F7C1F">
      <w:pPr>
        <w:jc w:val="both"/>
        <w:rPr>
          <w:lang w:val="en-GB"/>
        </w:rPr>
      </w:pPr>
    </w:p>
    <w:p w:rsidR="00546730" w:rsidRPr="006F7C1F" w:rsidRDefault="006579D2" w:rsidP="006F7C1F">
      <w:pPr>
        <w:jc w:val="both"/>
        <w:rPr>
          <w:lang w:val="en-GB"/>
        </w:rPr>
      </w:pPr>
      <w:r w:rsidRPr="006F7C1F">
        <w:rPr>
          <w:lang w:val="en-GB"/>
        </w:rPr>
        <w:t>Me</w:t>
      </w:r>
      <w:r w:rsidR="00000CE5" w:rsidRPr="006F7C1F">
        <w:rPr>
          <w:lang w:val="en-GB"/>
        </w:rPr>
        <w:t>mbership fees appear</w:t>
      </w:r>
      <w:r w:rsidRPr="006F7C1F">
        <w:rPr>
          <w:lang w:val="en-GB"/>
        </w:rPr>
        <w:t xml:space="preserve"> to be decreasing as a proportion of CSO budgets </w:t>
      </w:r>
      <w:r w:rsidR="00523066" w:rsidRPr="006F7C1F">
        <w:rPr>
          <w:lang w:val="en-GB"/>
        </w:rPr>
        <w:t>from 2005-2010</w:t>
      </w:r>
      <w:r w:rsidRPr="006F7C1F">
        <w:rPr>
          <w:lang w:val="en-GB"/>
        </w:rPr>
        <w:t>.</w:t>
      </w:r>
      <w:r w:rsidR="00263832" w:rsidRPr="006F7C1F">
        <w:rPr>
          <w:rStyle w:val="FootnoteReference"/>
          <w:lang w:val="en-GB"/>
        </w:rPr>
        <w:footnoteReference w:id="20"/>
      </w:r>
      <w:r w:rsidR="00546730" w:rsidRPr="006F7C1F">
        <w:rPr>
          <w:lang w:val="en-GB"/>
        </w:rPr>
        <w:t xml:space="preserve"> </w:t>
      </w:r>
      <w:r w:rsidR="00000CE5" w:rsidRPr="006F7C1F">
        <w:rPr>
          <w:lang w:val="en-GB"/>
        </w:rPr>
        <w:t>In 2005 a</w:t>
      </w:r>
      <w:r w:rsidR="00263832" w:rsidRPr="006F7C1F">
        <w:rPr>
          <w:lang w:val="en-GB"/>
        </w:rPr>
        <w:t>bout one third of the CSOs surveyed</w:t>
      </w:r>
      <w:r w:rsidR="00000CE5" w:rsidRPr="006F7C1F">
        <w:rPr>
          <w:lang w:val="en-GB"/>
        </w:rPr>
        <w:t xml:space="preserve"> </w:t>
      </w:r>
      <w:r w:rsidR="00263832" w:rsidRPr="006F7C1F">
        <w:rPr>
          <w:lang w:val="en-GB"/>
        </w:rPr>
        <w:t>had membership fees,</w:t>
      </w:r>
      <w:r w:rsidR="00000CE5" w:rsidRPr="006F7C1F">
        <w:rPr>
          <w:lang w:val="en-GB"/>
        </w:rPr>
        <w:t xml:space="preserve"> but </w:t>
      </w:r>
      <w:r w:rsidR="00263832" w:rsidRPr="006F7C1F">
        <w:rPr>
          <w:lang w:val="en-GB"/>
        </w:rPr>
        <w:t xml:space="preserve">revenues from this </w:t>
      </w:r>
      <w:r w:rsidR="00000CE5" w:rsidRPr="006F7C1F">
        <w:rPr>
          <w:lang w:val="en-GB"/>
        </w:rPr>
        <w:t xml:space="preserve">type of </w:t>
      </w:r>
      <w:r w:rsidR="00263832" w:rsidRPr="006F7C1F">
        <w:rPr>
          <w:lang w:val="en-GB"/>
        </w:rPr>
        <w:t>source did not exceed five percent of the total income in a majority of organisations.</w:t>
      </w:r>
      <w:r w:rsidR="00263832" w:rsidRPr="006F7C1F">
        <w:rPr>
          <w:rStyle w:val="FootnoteReference"/>
          <w:lang w:val="en-GB"/>
        </w:rPr>
        <w:footnoteReference w:id="21"/>
      </w:r>
      <w:r w:rsidR="00523066" w:rsidRPr="006F7C1F">
        <w:rPr>
          <w:lang w:val="en-GB"/>
        </w:rPr>
        <w:t xml:space="preserve"> </w:t>
      </w:r>
      <w:r w:rsidR="00546730" w:rsidRPr="006F7C1F">
        <w:rPr>
          <w:lang w:val="en-GB"/>
        </w:rPr>
        <w:t xml:space="preserve">Of those organizations that are able to generate income from entrepreneurial activities, such </w:t>
      </w:r>
      <w:r w:rsidR="00546730" w:rsidRPr="006F7C1F">
        <w:rPr>
          <w:lang w:val="en-GB"/>
        </w:rPr>
        <w:lastRenderedPageBreak/>
        <w:t>funding makes up</w:t>
      </w:r>
      <w:r w:rsidR="00523066" w:rsidRPr="006F7C1F">
        <w:rPr>
          <w:lang w:val="en-GB"/>
        </w:rPr>
        <w:t xml:space="preserve"> just</w:t>
      </w:r>
      <w:r w:rsidR="00546730" w:rsidRPr="006F7C1F">
        <w:rPr>
          <w:lang w:val="en-GB"/>
        </w:rPr>
        <w:t xml:space="preserve"> 12 percent of their annual budget, although </w:t>
      </w:r>
      <w:r w:rsidR="00D07B8E" w:rsidRPr="006F7C1F">
        <w:rPr>
          <w:lang w:val="en-GB"/>
        </w:rPr>
        <w:t>the majority</w:t>
      </w:r>
      <w:r w:rsidR="00546730" w:rsidRPr="006F7C1F">
        <w:rPr>
          <w:lang w:val="en-GB"/>
        </w:rPr>
        <w:t xml:space="preserve"> of CSOs </w:t>
      </w:r>
      <w:r w:rsidR="00D07B8E" w:rsidRPr="006F7C1F">
        <w:rPr>
          <w:lang w:val="en-GB"/>
        </w:rPr>
        <w:t xml:space="preserve">that are </w:t>
      </w:r>
      <w:r w:rsidR="00546730" w:rsidRPr="006F7C1F">
        <w:rPr>
          <w:lang w:val="en-GB"/>
        </w:rPr>
        <w:t>able to do so are Tbilisi-based.</w:t>
      </w:r>
      <w:r w:rsidR="00546730" w:rsidRPr="006F7C1F">
        <w:rPr>
          <w:rStyle w:val="FootnoteReference"/>
          <w:lang w:val="en-GB"/>
        </w:rPr>
        <w:footnoteReference w:id="22"/>
      </w:r>
    </w:p>
    <w:p w:rsidR="00024C69" w:rsidRPr="006F7C1F" w:rsidRDefault="00546730" w:rsidP="006F7C1F">
      <w:pPr>
        <w:jc w:val="both"/>
        <w:rPr>
          <w:lang w:val="en-GB"/>
        </w:rPr>
      </w:pPr>
      <w:r w:rsidRPr="006F7C1F">
        <w:rPr>
          <w:lang w:val="en-GB"/>
        </w:rPr>
        <w:t xml:space="preserve"> </w:t>
      </w:r>
    </w:p>
    <w:p w:rsidR="00537B9F" w:rsidRPr="006F7C1F" w:rsidRDefault="003568E4" w:rsidP="006F7C1F">
      <w:pPr>
        <w:jc w:val="both"/>
        <w:rPr>
          <w:lang w:val="en-GB"/>
        </w:rPr>
      </w:pPr>
      <w:r w:rsidRPr="006F7C1F">
        <w:rPr>
          <w:lang w:val="en-GB"/>
        </w:rPr>
        <w:t>D</w:t>
      </w:r>
      <w:r w:rsidR="00AC4CFC" w:rsidRPr="006F7C1F">
        <w:rPr>
          <w:lang w:val="en-GB"/>
        </w:rPr>
        <w:t xml:space="preserve">onations from private businesses </w:t>
      </w:r>
      <w:r w:rsidR="00523066" w:rsidRPr="006F7C1F">
        <w:rPr>
          <w:lang w:val="en-GB"/>
        </w:rPr>
        <w:t>are</w:t>
      </w:r>
      <w:r w:rsidR="00AC4CFC" w:rsidRPr="006F7C1F">
        <w:rPr>
          <w:lang w:val="en-GB"/>
        </w:rPr>
        <w:t xml:space="preserve"> the most rare </w:t>
      </w:r>
      <w:r w:rsidR="00D07E5F" w:rsidRPr="006F7C1F">
        <w:rPr>
          <w:lang w:val="en-GB"/>
        </w:rPr>
        <w:t>type of</w:t>
      </w:r>
      <w:r w:rsidR="00AC4CFC" w:rsidRPr="006F7C1F">
        <w:rPr>
          <w:lang w:val="en-GB"/>
        </w:rPr>
        <w:t xml:space="preserve"> alternative </w:t>
      </w:r>
      <w:r w:rsidR="00D07E5F" w:rsidRPr="006F7C1F">
        <w:rPr>
          <w:lang w:val="en-GB"/>
        </w:rPr>
        <w:t xml:space="preserve">income </w:t>
      </w:r>
      <w:r w:rsidR="00AC4CFC" w:rsidRPr="006F7C1F">
        <w:rPr>
          <w:lang w:val="en-GB"/>
        </w:rPr>
        <w:t>source</w:t>
      </w:r>
      <w:r w:rsidR="00D07E5F" w:rsidRPr="006F7C1F">
        <w:rPr>
          <w:lang w:val="en-GB"/>
        </w:rPr>
        <w:t xml:space="preserve"> </w:t>
      </w:r>
      <w:r w:rsidR="00523066" w:rsidRPr="006F7C1F">
        <w:rPr>
          <w:lang w:val="en-GB"/>
        </w:rPr>
        <w:t xml:space="preserve">(non-foreign donor) </w:t>
      </w:r>
      <w:r w:rsidR="00D07E5F" w:rsidRPr="006F7C1F">
        <w:rPr>
          <w:lang w:val="en-GB"/>
        </w:rPr>
        <w:t>for CSO</w:t>
      </w:r>
      <w:r w:rsidR="00AC4CFC" w:rsidRPr="006F7C1F">
        <w:rPr>
          <w:lang w:val="en-GB"/>
        </w:rPr>
        <w:t xml:space="preserve">s – only five percent of CSOs interviewed </w:t>
      </w:r>
      <w:r w:rsidRPr="006F7C1F">
        <w:rPr>
          <w:lang w:val="en-GB"/>
        </w:rPr>
        <w:t xml:space="preserve">in 2010 </w:t>
      </w:r>
      <w:r w:rsidR="00AC4CFC" w:rsidRPr="006F7C1F">
        <w:rPr>
          <w:lang w:val="en-GB"/>
        </w:rPr>
        <w:t>had ever received a donation from a business.</w:t>
      </w:r>
      <w:r w:rsidR="00A44874" w:rsidRPr="006F7C1F">
        <w:rPr>
          <w:rStyle w:val="FootnoteReference"/>
          <w:lang w:val="en-GB"/>
        </w:rPr>
        <w:footnoteReference w:id="23"/>
      </w:r>
      <w:r w:rsidR="005458E2" w:rsidRPr="006F7C1F">
        <w:rPr>
          <w:lang w:val="en-GB"/>
        </w:rPr>
        <w:t xml:space="preserve"> </w:t>
      </w:r>
    </w:p>
    <w:p w:rsidR="00537B9F" w:rsidRPr="006F7C1F" w:rsidRDefault="00537B9F" w:rsidP="006F7C1F">
      <w:pPr>
        <w:jc w:val="both"/>
        <w:rPr>
          <w:lang w:val="en-GB"/>
        </w:rPr>
      </w:pPr>
    </w:p>
    <w:p w:rsidR="00537B9F" w:rsidRPr="006F7C1F" w:rsidRDefault="00537B9F" w:rsidP="006F7C1F">
      <w:pPr>
        <w:jc w:val="both"/>
        <w:rPr>
          <w:lang w:val="en-GB"/>
        </w:rPr>
      </w:pPr>
      <w:r w:rsidRPr="006F7C1F">
        <w:rPr>
          <w:lang w:val="en-GB"/>
        </w:rPr>
        <w:t>Georgian CSOs are not prohibited from engaging in economic activities – in one study, the number of CSOs engaging in entrepreneurial activities “noticeably increased” between 2005-2008 and one-fifth of CSOs engaged in some kind of entrepreneurial activity</w:t>
      </w:r>
      <w:r w:rsidRPr="006F7C1F">
        <w:rPr>
          <w:rStyle w:val="FootnoteReference"/>
          <w:lang w:val="en-GB"/>
        </w:rPr>
        <w:footnoteReference w:id="24"/>
      </w:r>
      <w:r w:rsidRPr="006F7C1F">
        <w:rPr>
          <w:lang w:val="en-GB"/>
        </w:rPr>
        <w:t xml:space="preserve"> – but the scale of such activities and size of revenues is still very limited. Georgia’s larger CSOs find it difficult to conduct economic activities with the aim of raising revenue due to the lack of tax exemptions and, while CSOs in the regions are gradually realizing that they can raise revenues through direct service provision, this new mode of operation in unlikely to be a significant source of income for most CSOs due to low incomes among the population and a common public perception that CSOs should deliver services for free.</w:t>
      </w:r>
      <w:r w:rsidRPr="006F7C1F">
        <w:rPr>
          <w:rStyle w:val="FootnoteReference"/>
          <w:lang w:val="en-GB"/>
        </w:rPr>
        <w:footnoteReference w:id="25"/>
      </w:r>
      <w:r w:rsidRPr="006F7C1F">
        <w:rPr>
          <w:lang w:val="en-GB"/>
        </w:rPr>
        <w:t xml:space="preserve"> When CSOs do have commercial operations, they are largely underground because tax reporting is dramatically complicated by the issue of whether to attribute indirect costs to entrepreneurial or non-entrepreneurial activities.</w:t>
      </w:r>
      <w:r w:rsidRPr="006F7C1F">
        <w:rPr>
          <w:rStyle w:val="FootnoteReference"/>
          <w:lang w:val="en-GB"/>
        </w:rPr>
        <w:footnoteReference w:id="26"/>
      </w:r>
    </w:p>
    <w:p w:rsidR="00537B9F" w:rsidRPr="006F7C1F" w:rsidRDefault="00537B9F" w:rsidP="006F7C1F">
      <w:pPr>
        <w:jc w:val="both"/>
        <w:rPr>
          <w:lang w:val="en-GB"/>
        </w:rPr>
      </w:pPr>
    </w:p>
    <w:p w:rsidR="005103A7" w:rsidRPr="006F7C1F" w:rsidRDefault="00855023" w:rsidP="006F7C1F">
      <w:pPr>
        <w:jc w:val="both"/>
        <w:rPr>
          <w:lang w:val="en-GB"/>
        </w:rPr>
      </w:pPr>
      <w:r w:rsidRPr="006F7C1F">
        <w:rPr>
          <w:lang w:val="en-GB"/>
        </w:rPr>
        <w:t xml:space="preserve">In terms of human resources, </w:t>
      </w:r>
      <w:r w:rsidR="00BB16D0" w:rsidRPr="006F7C1F">
        <w:rPr>
          <w:lang w:val="en-GB"/>
        </w:rPr>
        <w:t>CSOs have</w:t>
      </w:r>
      <w:r w:rsidR="002C4197" w:rsidRPr="006F7C1F">
        <w:rPr>
          <w:lang w:val="en-GB"/>
        </w:rPr>
        <w:t xml:space="preserve"> not fully</w:t>
      </w:r>
      <w:r w:rsidR="00BB16D0" w:rsidRPr="006F7C1F">
        <w:rPr>
          <w:lang w:val="en-GB"/>
        </w:rPr>
        <w:t xml:space="preserve"> recovered from th</w:t>
      </w:r>
      <w:r w:rsidR="00972B5E" w:rsidRPr="006F7C1F">
        <w:rPr>
          <w:lang w:val="en-GB"/>
        </w:rPr>
        <w:t>e</w:t>
      </w:r>
      <w:r w:rsidR="00BB16D0" w:rsidRPr="006F7C1F">
        <w:rPr>
          <w:lang w:val="en-GB"/>
        </w:rPr>
        <w:t xml:space="preserve"> brain drain</w:t>
      </w:r>
      <w:r w:rsidR="00972B5E" w:rsidRPr="006F7C1F">
        <w:rPr>
          <w:lang w:val="en-GB"/>
        </w:rPr>
        <w:t xml:space="preserve"> that took place after 2004, when many civil society leaders took government positions</w:t>
      </w:r>
      <w:r w:rsidR="002C4197" w:rsidRPr="006F7C1F">
        <w:rPr>
          <w:lang w:val="en-GB"/>
        </w:rPr>
        <w:t xml:space="preserve"> in the post-revolution administration</w:t>
      </w:r>
      <w:r w:rsidR="008B2D61" w:rsidRPr="006F7C1F">
        <w:rPr>
          <w:lang w:val="en-GB"/>
        </w:rPr>
        <w:t xml:space="preserve"> (nine of 11 new ministers in the </w:t>
      </w:r>
      <w:r w:rsidR="002C4197" w:rsidRPr="006F7C1F">
        <w:rPr>
          <w:lang w:val="en-GB"/>
        </w:rPr>
        <w:t>new</w:t>
      </w:r>
      <w:r w:rsidR="008B2D61" w:rsidRPr="006F7C1F">
        <w:rPr>
          <w:lang w:val="en-GB"/>
        </w:rPr>
        <w:t xml:space="preserve"> cabinet were from CSOs),</w:t>
      </w:r>
      <w:r w:rsidR="00972B5E" w:rsidRPr="006F7C1F">
        <w:rPr>
          <w:lang w:val="en-GB"/>
        </w:rPr>
        <w:t xml:space="preserve"> and donors shifted their financing away from the CSO sector and towards direct support to the state</w:t>
      </w:r>
      <w:r w:rsidR="00967A60" w:rsidRPr="006F7C1F">
        <w:rPr>
          <w:rStyle w:val="FootnoteReference"/>
          <w:lang w:val="en-GB"/>
        </w:rPr>
        <w:footnoteReference w:id="27"/>
      </w:r>
      <w:r w:rsidR="003568E4" w:rsidRPr="006F7C1F">
        <w:rPr>
          <w:lang w:val="en-GB"/>
        </w:rPr>
        <w:t>.</w:t>
      </w:r>
      <w:r w:rsidR="002C4197" w:rsidRPr="006F7C1F">
        <w:rPr>
          <w:lang w:val="en-GB"/>
        </w:rPr>
        <w:t xml:space="preserve"> In addition, CSO’s are not longer as attractive to qualified professionals due to competition from increased salaries among public employees and more opportunities for private sector employment.</w:t>
      </w:r>
      <w:r w:rsidR="002C4197" w:rsidRPr="006F7C1F">
        <w:rPr>
          <w:rStyle w:val="FootnoteReference"/>
          <w:lang w:val="en-GB"/>
        </w:rPr>
        <w:footnoteReference w:id="28"/>
      </w:r>
      <w:r w:rsidR="00972B5E" w:rsidRPr="006F7C1F">
        <w:rPr>
          <w:lang w:val="en-GB"/>
        </w:rPr>
        <w:t xml:space="preserve"> Yet </w:t>
      </w:r>
      <w:r w:rsidR="00BB16D0" w:rsidRPr="006F7C1F">
        <w:rPr>
          <w:lang w:val="en-GB"/>
        </w:rPr>
        <w:t>t</w:t>
      </w:r>
      <w:r w:rsidR="005103A7" w:rsidRPr="006F7C1F">
        <w:rPr>
          <w:lang w:val="en-GB"/>
        </w:rPr>
        <w:t>here is a growing gap between large and more professional organisations and many small and institutionally weak CSOs</w:t>
      </w:r>
      <w:r w:rsidR="002212D8" w:rsidRPr="006F7C1F">
        <w:rPr>
          <w:lang w:val="en-GB"/>
        </w:rPr>
        <w:t>. I</w:t>
      </w:r>
      <w:r w:rsidR="005103A7" w:rsidRPr="006F7C1F">
        <w:rPr>
          <w:lang w:val="en-GB"/>
        </w:rPr>
        <w:t>t has been noted that a majority of organisations find it increasingly difficult to retain “qualified, professional employees”</w:t>
      </w:r>
      <w:r w:rsidR="00DA7ED2" w:rsidRPr="006F7C1F">
        <w:rPr>
          <w:lang w:val="en-GB"/>
        </w:rPr>
        <w:t>;</w:t>
      </w:r>
      <w:r w:rsidR="005103A7" w:rsidRPr="006F7C1F">
        <w:rPr>
          <w:rStyle w:val="FootnoteReference"/>
          <w:lang w:val="en-GB"/>
        </w:rPr>
        <w:footnoteReference w:id="29"/>
      </w:r>
      <w:r w:rsidR="00DA7ED2" w:rsidRPr="006F7C1F">
        <w:rPr>
          <w:lang w:val="en-GB"/>
        </w:rPr>
        <w:t xml:space="preserve"> indeed, one study found that a third of the organizations interviewed did not have a single permanently paid staff member.</w:t>
      </w:r>
      <w:r w:rsidR="00DA7ED2" w:rsidRPr="006F7C1F">
        <w:rPr>
          <w:rStyle w:val="FootnoteReference"/>
          <w:lang w:val="en-GB"/>
        </w:rPr>
        <w:footnoteReference w:id="30"/>
      </w:r>
      <w:r w:rsidR="00DB1C6C" w:rsidRPr="006F7C1F">
        <w:rPr>
          <w:lang w:val="en-GB"/>
        </w:rPr>
        <w:t xml:space="preserve"> </w:t>
      </w:r>
      <w:r w:rsidR="005103A7" w:rsidRPr="006F7C1F">
        <w:rPr>
          <w:lang w:val="en-GB"/>
        </w:rPr>
        <w:t>CSOs operating outside Tbilisi are considerably weaker than those based in the capital</w:t>
      </w:r>
      <w:r w:rsidR="008B2D61" w:rsidRPr="006F7C1F">
        <w:rPr>
          <w:lang w:val="en-GB"/>
        </w:rPr>
        <w:t>,</w:t>
      </w:r>
      <w:r w:rsidR="005103A7" w:rsidRPr="006F7C1F">
        <w:rPr>
          <w:rStyle w:val="FootnoteReference"/>
          <w:lang w:val="en-GB"/>
        </w:rPr>
        <w:footnoteReference w:id="31"/>
      </w:r>
      <w:r w:rsidR="008B2D61" w:rsidRPr="006F7C1F">
        <w:rPr>
          <w:lang w:val="en-GB"/>
        </w:rPr>
        <w:t xml:space="preserve"> due both to m</w:t>
      </w:r>
      <w:r w:rsidR="005103A7" w:rsidRPr="006F7C1F">
        <w:rPr>
          <w:lang w:val="en-GB"/>
        </w:rPr>
        <w:t xml:space="preserve">ore limited access to donor funding </w:t>
      </w:r>
      <w:r w:rsidR="003568E4" w:rsidRPr="006F7C1F">
        <w:rPr>
          <w:lang w:val="en-GB"/>
        </w:rPr>
        <w:t>and the brain drain of capable staff from the regions to Tbilisi.</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The volunteer and membership base of CSOs is weak. </w:t>
      </w:r>
      <w:r w:rsidR="001A4D9D" w:rsidRPr="006F7C1F">
        <w:rPr>
          <w:lang w:val="en-GB"/>
        </w:rPr>
        <w:t xml:space="preserve">According to the 2008 edition of the </w:t>
      </w:r>
      <w:r w:rsidR="001A4D9D" w:rsidRPr="006F7C1F">
        <w:rPr>
          <w:i/>
          <w:lang w:val="en-GB"/>
        </w:rPr>
        <w:t>Nations in Transit</w:t>
      </w:r>
      <w:r w:rsidR="001A4D9D" w:rsidRPr="006F7C1F">
        <w:rPr>
          <w:lang w:val="en-GB"/>
        </w:rPr>
        <w:t xml:space="preserve"> report, </w:t>
      </w:r>
      <w:r w:rsidRPr="006F7C1F">
        <w:rPr>
          <w:lang w:val="en-GB"/>
        </w:rPr>
        <w:t>“volunteerism is weakly developed and successful community-</w:t>
      </w:r>
      <w:r w:rsidRPr="006F7C1F">
        <w:rPr>
          <w:lang w:val="en-GB"/>
        </w:rPr>
        <w:lastRenderedPageBreak/>
        <w:t>based organisations are few.”</w:t>
      </w:r>
      <w:r w:rsidRPr="006F7C1F">
        <w:rPr>
          <w:rStyle w:val="FootnoteReference"/>
          <w:lang w:val="en-GB"/>
        </w:rPr>
        <w:footnoteReference w:id="32"/>
      </w:r>
      <w:r w:rsidR="00EC0B20" w:rsidRPr="006F7C1F">
        <w:rPr>
          <w:lang w:val="en-GB"/>
        </w:rPr>
        <w:t xml:space="preserve"> </w:t>
      </w:r>
      <w:r w:rsidRPr="006F7C1F">
        <w:rPr>
          <w:lang w:val="en-GB"/>
        </w:rPr>
        <w:t>As a result, there are few membership- or constituency-based CSOs in Georgia.</w:t>
      </w:r>
      <w:r w:rsidRPr="006F7C1F">
        <w:rPr>
          <w:rStyle w:val="FootnoteReference"/>
          <w:lang w:val="en-GB"/>
        </w:rPr>
        <w:footnoteReference w:id="33"/>
      </w:r>
      <w:r w:rsidR="008B2D61" w:rsidRPr="006F7C1F">
        <w:rPr>
          <w:lang w:val="en-GB"/>
        </w:rPr>
        <w:t xml:space="preserve"> </w:t>
      </w:r>
      <w:r w:rsidR="00D47695" w:rsidRPr="006F7C1F">
        <w:rPr>
          <w:lang w:val="en-GB"/>
        </w:rPr>
        <w:t xml:space="preserve">One study reported that </w:t>
      </w:r>
      <w:r w:rsidR="008B2D61" w:rsidRPr="006F7C1F">
        <w:rPr>
          <w:lang w:val="en-GB"/>
        </w:rPr>
        <w:t>33</w:t>
      </w:r>
      <w:r w:rsidR="00D47695" w:rsidRPr="006F7C1F">
        <w:rPr>
          <w:lang w:val="en-GB"/>
        </w:rPr>
        <w:t xml:space="preserve"> percent</w:t>
      </w:r>
      <w:r w:rsidR="008B2D61" w:rsidRPr="006F7C1F">
        <w:rPr>
          <w:lang w:val="en-GB"/>
        </w:rPr>
        <w:t xml:space="preserve"> of CSOs have no volunteers at all</w:t>
      </w:r>
      <w:r w:rsidR="00F50626" w:rsidRPr="006F7C1F">
        <w:rPr>
          <w:lang w:val="en-GB"/>
        </w:rPr>
        <w:t>, and this figure is likely an under-estimation, as “the term ‘volunteering’ is not always properly understood by CSOs, and most often ‘volunteers’ are actually project beneficiaries.”</w:t>
      </w:r>
      <w:r w:rsidR="008B2D61" w:rsidRPr="006F7C1F">
        <w:rPr>
          <w:rStyle w:val="FootnoteReference"/>
          <w:lang w:val="en-GB"/>
        </w:rPr>
        <w:footnoteReference w:id="34"/>
      </w: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Independence (law)</w:t>
      </w:r>
    </w:p>
    <w:p w:rsidR="005103A7" w:rsidRPr="006F7C1F" w:rsidRDefault="006F7C1F" w:rsidP="006F7C1F">
      <w:pPr>
        <w:jc w:val="both"/>
        <w:rPr>
          <w:lang w:val="en-GB"/>
        </w:rPr>
      </w:pPr>
      <w:r w:rsidRPr="006F7C1F">
        <w:rPr>
          <w:lang w:val="en-GB"/>
        </w:rPr>
        <w:t>Score: 75</w:t>
      </w:r>
    </w:p>
    <w:p w:rsidR="005103A7" w:rsidRPr="006F7C1F" w:rsidRDefault="005103A7" w:rsidP="006F7C1F">
      <w:pPr>
        <w:jc w:val="both"/>
        <w:rPr>
          <w:lang w:val="en-GB"/>
        </w:rPr>
      </w:pPr>
    </w:p>
    <w:p w:rsidR="005103A7" w:rsidRPr="006F7C1F" w:rsidRDefault="005103A7" w:rsidP="006F7C1F">
      <w:pPr>
        <w:jc w:val="both"/>
        <w:rPr>
          <w:i/>
          <w:lang w:val="en-GB"/>
        </w:rPr>
      </w:pPr>
      <w:r w:rsidRPr="006F7C1F">
        <w:rPr>
          <w:i/>
          <w:lang w:val="en-GB"/>
        </w:rPr>
        <w:t>To what extent are there legal safeguards to prevent unwarranted external interference in the activities of CSOs?</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The legal framework that regulates the activities of CSOs in Georgia generally provides an adequate level of protection against unwarranted intervention. The Constitution guarantees the right of citizens to form associations, while the Civil Code contains some additional safeguards. Georgian CSOs can operate free of state control or the threat of political or arbitrary dissolution.</w:t>
      </w:r>
      <w:r w:rsidRPr="006F7C1F">
        <w:rPr>
          <w:rStyle w:val="FootnoteReference"/>
          <w:lang w:val="en-GB"/>
        </w:rPr>
        <w:footnoteReference w:id="35"/>
      </w:r>
      <w:r w:rsidRPr="006F7C1F">
        <w:rPr>
          <w:lang w:val="en-GB"/>
        </w:rPr>
        <w:t xml:space="preserve"> Freedom of association is effectively protected by the Civil Code.</w:t>
      </w:r>
      <w:r w:rsidRPr="006F7C1F">
        <w:rPr>
          <w:rStyle w:val="FootnoteReference"/>
          <w:lang w:val="en-GB"/>
        </w:rPr>
        <w:footnoteReference w:id="36"/>
      </w:r>
      <w:r w:rsidR="00BC5A7B" w:rsidRPr="006F7C1F">
        <w:rPr>
          <w:lang w:val="en-GB"/>
        </w:rPr>
        <w:t xml:space="preserve"> Yet, while there are no significant legal hurdles to the operation of CSOs in the law, there are also no specific protections for the sector.</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With some legitimate exceptions, citizens are generally allowed to form and join groups promoting good governance and anti-corruption activities regardless of political ideology, religion or objectives. There are restrictions on the ideology and objectives of CSOs, but they are limited to legitimate state interests.</w:t>
      </w:r>
      <w:r w:rsidRPr="006F7C1F">
        <w:rPr>
          <w:rStyle w:val="FootnoteReference"/>
          <w:lang w:val="en-GB"/>
        </w:rPr>
        <w:footnoteReference w:id="37"/>
      </w:r>
      <w:r w:rsidRPr="006F7C1F">
        <w:rPr>
          <w:lang w:val="en-GB"/>
        </w:rPr>
        <w:t xml:space="preserve"> Specifically, the Constitution prohibits the formation and operation of associations that aim to bring down or violently change the constitutional order, destroy the country’s independence or violate its territorial integrity, as well as associations that advocate war and violence or incite national, regional, religious or social hatred. The same article of the Constitution states that an association can only be banned through a court decision and only in the cases envisaged by the law. The Civil Code says that a CSO can be denied registration if its objectives contradict the existing legislation, the universal moral norms or the principles of Georgia’s constitutional law.</w:t>
      </w:r>
      <w:r w:rsidRPr="006F7C1F">
        <w:rPr>
          <w:rStyle w:val="FootnoteReference"/>
          <w:lang w:val="en-GB"/>
        </w:rPr>
        <w:footnoteReference w:id="38"/>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State control of CSO operations is limited to the suspension or prohibition of activities and only possible through a court decision.</w:t>
      </w:r>
      <w:r w:rsidRPr="006F7C1F">
        <w:rPr>
          <w:rStyle w:val="FootnoteReference"/>
          <w:lang w:val="en-GB"/>
        </w:rPr>
        <w:footnoteReference w:id="39"/>
      </w:r>
      <w:r w:rsidRPr="006F7C1F">
        <w:rPr>
          <w:lang w:val="en-GB"/>
        </w:rPr>
        <w:t xml:space="preserve"> Since CSOs have the legal status of a non-profit legal entity, the Civil Code specifies that the court can rule to prohibit or suspend the operation of such an organisation</w:t>
      </w:r>
      <w:r w:rsidR="00FE12D5" w:rsidRPr="006F7C1F">
        <w:rPr>
          <w:lang w:val="en-GB"/>
        </w:rPr>
        <w:t xml:space="preserve"> </w:t>
      </w:r>
      <w:r w:rsidRPr="006F7C1F">
        <w:rPr>
          <w:lang w:val="en-GB"/>
        </w:rPr>
        <w:t>if its activities become “essentially commercial”.</w:t>
      </w:r>
      <w:r w:rsidR="00FE12D5" w:rsidRPr="006F7C1F">
        <w:rPr>
          <w:lang w:val="en-GB"/>
        </w:rPr>
        <w:t xml:space="preserve"> </w:t>
      </w:r>
      <w:r w:rsidRPr="006F7C1F">
        <w:rPr>
          <w:lang w:val="en-GB"/>
        </w:rPr>
        <w:t>There are no regulations requiring state membership on CSO boards or allowing for mandatory state attendance at CSO meetings. The constitutional right to privacy does not extend to CSOs.</w:t>
      </w: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Independence (practice)</w:t>
      </w:r>
    </w:p>
    <w:p w:rsidR="005103A7" w:rsidRPr="006F7C1F" w:rsidRDefault="006F7C1F" w:rsidP="006F7C1F">
      <w:pPr>
        <w:jc w:val="both"/>
        <w:rPr>
          <w:lang w:val="en-GB"/>
        </w:rPr>
      </w:pPr>
      <w:r w:rsidRPr="006F7C1F">
        <w:rPr>
          <w:lang w:val="en-GB"/>
        </w:rPr>
        <w:t>Score: 75</w:t>
      </w:r>
    </w:p>
    <w:p w:rsidR="005103A7" w:rsidRPr="006F7C1F" w:rsidRDefault="005103A7" w:rsidP="006F7C1F">
      <w:pPr>
        <w:jc w:val="both"/>
        <w:rPr>
          <w:lang w:val="en-GB"/>
        </w:rPr>
      </w:pPr>
    </w:p>
    <w:p w:rsidR="005103A7" w:rsidRPr="006F7C1F" w:rsidRDefault="005103A7" w:rsidP="006F7C1F">
      <w:pPr>
        <w:jc w:val="both"/>
        <w:rPr>
          <w:lang w:val="en-GB"/>
        </w:rPr>
      </w:pPr>
      <w:r w:rsidRPr="006F7C1F">
        <w:rPr>
          <w:i/>
          <w:lang w:val="en-GB"/>
        </w:rPr>
        <w:t>To what extent can civil society exist and function without undue external interference?</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Georgian CSOs are generally able to operate without undue interference by the authorities. Instances of direct government pressure, such as suspension of CSOs or arrest of CSO activists because of their work, are extremely uncommon. At the same time, </w:t>
      </w:r>
      <w:r w:rsidR="00751BB5" w:rsidRPr="006F7C1F">
        <w:rPr>
          <w:lang w:val="en-GB"/>
        </w:rPr>
        <w:t xml:space="preserve">there are numerous reports that some </w:t>
      </w:r>
      <w:r w:rsidRPr="006F7C1F">
        <w:rPr>
          <w:lang w:val="en-GB"/>
        </w:rPr>
        <w:t>NGOs</w:t>
      </w:r>
      <w:r w:rsidR="00751BB5" w:rsidRPr="006F7C1F">
        <w:rPr>
          <w:lang w:val="en-GB"/>
        </w:rPr>
        <w:t>, especially those</w:t>
      </w:r>
      <w:r w:rsidRPr="006F7C1F">
        <w:rPr>
          <w:lang w:val="en-GB"/>
        </w:rPr>
        <w:t xml:space="preserve"> operating outside the capital</w:t>
      </w:r>
      <w:r w:rsidR="00751BB5" w:rsidRPr="006F7C1F">
        <w:rPr>
          <w:lang w:val="en-GB"/>
        </w:rPr>
        <w:t xml:space="preserve"> and working on advocacy issues,</w:t>
      </w:r>
      <w:r w:rsidRPr="006F7C1F">
        <w:rPr>
          <w:lang w:val="en-GB"/>
        </w:rPr>
        <w:t xml:space="preserve"> experience pressure from</w:t>
      </w:r>
      <w:r w:rsidR="00751BB5" w:rsidRPr="006F7C1F">
        <w:rPr>
          <w:lang w:val="en-GB"/>
        </w:rPr>
        <w:t xml:space="preserve"> the</w:t>
      </w:r>
      <w:r w:rsidRPr="006F7C1F">
        <w:rPr>
          <w:lang w:val="en-GB"/>
        </w:rPr>
        <w:t xml:space="preserve"> authorities. There have also been cases of intimidation and violence against NGO observers during elections.</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Pursuant to the laws on the subject, the government does not impose restrictions on CSO’s</w:t>
      </w:r>
      <w:r w:rsidR="00FE12D5" w:rsidRPr="006F7C1F">
        <w:rPr>
          <w:lang w:val="en-GB"/>
        </w:rPr>
        <w:t xml:space="preserve"> </w:t>
      </w:r>
      <w:r w:rsidRPr="006F7C1F">
        <w:rPr>
          <w:lang w:val="en-GB"/>
        </w:rPr>
        <w:t>activities or interfere with their work.</w:t>
      </w:r>
      <w:r w:rsidRPr="006F7C1F">
        <w:rPr>
          <w:rStyle w:val="FootnoteReference"/>
          <w:lang w:val="en-GB"/>
        </w:rPr>
        <w:footnoteReference w:id="40"/>
      </w:r>
      <w:r w:rsidRPr="006F7C1F">
        <w:rPr>
          <w:lang w:val="en-GB"/>
        </w:rPr>
        <w:t xml:space="preserve"> Georgian civil society is said to be “rather vocal in criticizing government”.</w:t>
      </w:r>
      <w:r w:rsidRPr="006F7C1F">
        <w:rPr>
          <w:rStyle w:val="FootnoteReference"/>
          <w:lang w:val="en-GB"/>
        </w:rPr>
        <w:footnoteReference w:id="41"/>
      </w:r>
      <w:r w:rsidRPr="006F7C1F">
        <w:rPr>
          <w:lang w:val="en-GB"/>
        </w:rPr>
        <w:t xml:space="preserve"> Still, while the authorities do not try to openly interfere in the internal affairs of CSOs, they have been criticized for attempting to influence CSO’s activities through a “discriminatory” policy: while some CSOs enjoy free access to and close</w:t>
      </w:r>
      <w:r w:rsidR="00FE12D5" w:rsidRPr="006F7C1F">
        <w:rPr>
          <w:lang w:val="en-GB"/>
        </w:rPr>
        <w:t xml:space="preserve"> </w:t>
      </w:r>
      <w:r w:rsidRPr="006F7C1F">
        <w:rPr>
          <w:lang w:val="en-GB"/>
        </w:rPr>
        <w:t>cooperation with the government, others are denied such opportunities.</w:t>
      </w:r>
      <w:r w:rsidRPr="006F7C1F">
        <w:rPr>
          <w:rStyle w:val="FootnoteReference"/>
          <w:lang w:val="en-GB"/>
        </w:rPr>
        <w:footnoteReference w:id="42"/>
      </w:r>
      <w:r w:rsidRPr="006F7C1F">
        <w:rPr>
          <w:lang w:val="en-GB"/>
        </w:rPr>
        <w:t xml:space="preserve"> It is not possible to distinguish cause from effect, but the polarization of</w:t>
      </w:r>
      <w:r w:rsidR="00B101ED" w:rsidRPr="006F7C1F">
        <w:rPr>
          <w:lang w:val="en-GB"/>
        </w:rPr>
        <w:t xml:space="preserve"> </w:t>
      </w:r>
      <w:r w:rsidRPr="006F7C1F">
        <w:rPr>
          <w:lang w:val="en-GB"/>
        </w:rPr>
        <w:t>civil society, with almost all organizations classified as either pro- or anti-government</w:t>
      </w:r>
      <w:r w:rsidR="00BB1FDC" w:rsidRPr="006F7C1F">
        <w:rPr>
          <w:lang w:val="en-GB"/>
        </w:rPr>
        <w:t>, reflects the same in political circles</w:t>
      </w:r>
      <w:r w:rsidRPr="006F7C1F">
        <w:rPr>
          <w:lang w:val="en-GB"/>
        </w:rPr>
        <w:t xml:space="preserve">. </w:t>
      </w:r>
    </w:p>
    <w:p w:rsidR="005103A7" w:rsidRPr="006F7C1F" w:rsidRDefault="005103A7" w:rsidP="006F7C1F">
      <w:pPr>
        <w:jc w:val="both"/>
        <w:rPr>
          <w:lang w:val="en-GB"/>
        </w:rPr>
      </w:pPr>
    </w:p>
    <w:p w:rsidR="00BB1FDC" w:rsidRPr="006F7C1F" w:rsidRDefault="005103A7" w:rsidP="006F7C1F">
      <w:pPr>
        <w:jc w:val="both"/>
        <w:rPr>
          <w:lang w:val="en-GB"/>
        </w:rPr>
      </w:pPr>
      <w:r w:rsidRPr="006F7C1F">
        <w:rPr>
          <w:lang w:val="en-GB"/>
        </w:rPr>
        <w:t>According to Freedom House, while the CSO community is independent overall,</w:t>
      </w:r>
      <w:r w:rsidRPr="006F7C1F">
        <w:rPr>
          <w:rStyle w:val="FootnoteReference"/>
          <w:lang w:val="en-GB"/>
        </w:rPr>
        <w:footnoteReference w:id="43"/>
      </w:r>
      <w:r w:rsidRPr="006F7C1F">
        <w:rPr>
          <w:lang w:val="en-GB"/>
        </w:rPr>
        <w:t xml:space="preserve"> some of the small NGOs operating in</w:t>
      </w:r>
      <w:r w:rsidR="00BB1FDC" w:rsidRPr="006F7C1F">
        <w:rPr>
          <w:lang w:val="en-GB"/>
        </w:rPr>
        <w:t xml:space="preserve"> the</w:t>
      </w:r>
      <w:r w:rsidRPr="006F7C1F">
        <w:rPr>
          <w:lang w:val="en-GB"/>
        </w:rPr>
        <w:t xml:space="preserve"> provinces have been subjected to “illegal pressure and harassment” by local officials.</w:t>
      </w:r>
      <w:r w:rsidRPr="006F7C1F">
        <w:rPr>
          <w:rStyle w:val="FootnoteReference"/>
          <w:lang w:val="en-GB"/>
        </w:rPr>
        <w:footnoteReference w:id="44"/>
      </w:r>
      <w:r w:rsidRPr="006F7C1F">
        <w:rPr>
          <w:lang w:val="en-GB"/>
        </w:rPr>
        <w:t xml:space="preserve"> The OSCE/ODIHR Election Observation Mission also reported cases when election observers representing Georgian CSOs were pressured and intimidated.</w:t>
      </w:r>
      <w:r w:rsidRPr="006F7C1F">
        <w:rPr>
          <w:rStyle w:val="FootnoteReference"/>
          <w:lang w:val="en-GB"/>
        </w:rPr>
        <w:footnoteReference w:id="45"/>
      </w:r>
      <w:r w:rsidRPr="006F7C1F">
        <w:rPr>
          <w:lang w:val="en-GB"/>
        </w:rPr>
        <w:t xml:space="preserve"> The authorities generally fail to investigate these incidents of intimidation.</w:t>
      </w:r>
      <w:r w:rsidR="00BB1FDC" w:rsidRPr="006F7C1F">
        <w:rPr>
          <w:rStyle w:val="FootnoteReference"/>
          <w:lang w:val="en-GB"/>
        </w:rPr>
        <w:footnoteReference w:id="46"/>
      </w:r>
      <w:r w:rsidR="00BB1FDC" w:rsidRPr="006F7C1F">
        <w:rPr>
          <w:lang w:val="en-GB"/>
        </w:rPr>
        <w:t xml:space="preserve"> </w:t>
      </w:r>
    </w:p>
    <w:p w:rsidR="00B66A93" w:rsidRPr="006F7C1F" w:rsidDel="004976D0" w:rsidRDefault="00B66A93" w:rsidP="006F7C1F">
      <w:pPr>
        <w:jc w:val="both"/>
        <w:rPr>
          <w:lang w:val="en-GB"/>
        </w:rPr>
      </w:pPr>
    </w:p>
    <w:p w:rsidR="005103A7" w:rsidRPr="006F7C1F" w:rsidRDefault="005103A7" w:rsidP="006F7C1F">
      <w:pPr>
        <w:jc w:val="both"/>
        <w:rPr>
          <w:color w:val="FF0000"/>
          <w:lang w:val="en-GB"/>
        </w:rPr>
      </w:pPr>
    </w:p>
    <w:p w:rsidR="005103A7" w:rsidRPr="006F7C1F" w:rsidRDefault="005103A7" w:rsidP="006F7C1F">
      <w:pPr>
        <w:jc w:val="both"/>
        <w:rPr>
          <w:b/>
          <w:lang w:val="en-GB"/>
        </w:rPr>
      </w:pPr>
      <w:r w:rsidRPr="006F7C1F">
        <w:rPr>
          <w:b/>
          <w:lang w:val="en-GB"/>
        </w:rPr>
        <w:t>Transparency (practice)</w:t>
      </w:r>
    </w:p>
    <w:p w:rsidR="005103A7" w:rsidRPr="006F7C1F" w:rsidRDefault="006F7C1F" w:rsidP="006F7C1F">
      <w:pPr>
        <w:jc w:val="both"/>
        <w:rPr>
          <w:lang w:val="en-GB"/>
        </w:rPr>
      </w:pPr>
      <w:r w:rsidRPr="006F7C1F">
        <w:rPr>
          <w:lang w:val="en-GB"/>
        </w:rPr>
        <w:t>Score: 50</w:t>
      </w:r>
    </w:p>
    <w:p w:rsidR="005103A7" w:rsidRPr="006F7C1F" w:rsidRDefault="005103A7" w:rsidP="006F7C1F">
      <w:pPr>
        <w:jc w:val="both"/>
        <w:rPr>
          <w:lang w:val="en-GB"/>
        </w:rPr>
      </w:pPr>
    </w:p>
    <w:p w:rsidR="005103A7" w:rsidRPr="006F7C1F" w:rsidRDefault="005103A7" w:rsidP="006F7C1F">
      <w:pPr>
        <w:jc w:val="both"/>
        <w:rPr>
          <w:lang w:val="en-GB"/>
        </w:rPr>
      </w:pPr>
      <w:r w:rsidRPr="006F7C1F">
        <w:rPr>
          <w:i/>
          <w:lang w:val="en-GB"/>
        </w:rPr>
        <w:t>To what extent is there transparency in CSOs?</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The overall level of transparency of Georgian CSOs is inadequate. According to a number of studies conducted in recent years, as well as interviews conducted by TI Georgia, only a minority of CSOs make important information about their activities available to the general public on a regular basis.</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The </w:t>
      </w:r>
      <w:r w:rsidR="00F15F00" w:rsidRPr="006F7C1F">
        <w:rPr>
          <w:lang w:val="en-GB"/>
        </w:rPr>
        <w:t xml:space="preserve">2005 </w:t>
      </w:r>
      <w:r w:rsidRPr="006F7C1F">
        <w:rPr>
          <w:lang w:val="en-GB"/>
        </w:rPr>
        <w:t xml:space="preserve">CIVICUS report for Georgia noted a low level of financial transparency </w:t>
      </w:r>
      <w:r w:rsidR="00F15F00" w:rsidRPr="006F7C1F">
        <w:rPr>
          <w:lang w:val="en-GB"/>
        </w:rPr>
        <w:t>among</w:t>
      </w:r>
      <w:r w:rsidRPr="006F7C1F">
        <w:rPr>
          <w:lang w:val="en-GB"/>
        </w:rPr>
        <w:t xml:space="preserve"> Georgian CSOs.</w:t>
      </w:r>
      <w:r w:rsidRPr="006F7C1F">
        <w:rPr>
          <w:rStyle w:val="FootnoteReference"/>
          <w:lang w:val="en-GB"/>
        </w:rPr>
        <w:footnoteReference w:id="47"/>
      </w:r>
      <w:r w:rsidRPr="006F7C1F">
        <w:rPr>
          <w:lang w:val="en-GB"/>
        </w:rPr>
        <w:t>While there have been some improvements in this area and a group of leading CSOs have undertaken to introduce higher standards of transparency and to make core financial information available to the public, the number of CSOs making their financial report publicly available remains small.</w:t>
      </w:r>
      <w:r w:rsidRPr="006F7C1F">
        <w:rPr>
          <w:rStyle w:val="FootnoteReference"/>
          <w:lang w:val="en-GB"/>
        </w:rPr>
        <w:footnoteReference w:id="48"/>
      </w:r>
      <w:r w:rsidRPr="006F7C1F">
        <w:rPr>
          <w:lang w:val="en-GB"/>
        </w:rPr>
        <w:t xml:space="preserve"> Even charity organisations that are required by the law to publish their annual activity reports and financial statements do this in a mere 45 percent of cases.</w:t>
      </w:r>
      <w:r w:rsidRPr="006F7C1F">
        <w:rPr>
          <w:rStyle w:val="FootnoteReference"/>
          <w:lang w:val="en-GB"/>
        </w:rPr>
        <w:footnoteReference w:id="49"/>
      </w:r>
    </w:p>
    <w:p w:rsidR="005103A7" w:rsidRPr="006F7C1F" w:rsidRDefault="005103A7" w:rsidP="006F7C1F">
      <w:pPr>
        <w:jc w:val="both"/>
        <w:rPr>
          <w:lang w:val="en-GB"/>
        </w:rPr>
      </w:pPr>
    </w:p>
    <w:p w:rsidR="005103A7" w:rsidRPr="006F7C1F" w:rsidRDefault="00F15F00" w:rsidP="006F7C1F">
      <w:pPr>
        <w:jc w:val="both"/>
        <w:rPr>
          <w:lang w:val="en-GB"/>
        </w:rPr>
      </w:pPr>
      <w:r w:rsidRPr="006F7C1F">
        <w:rPr>
          <w:lang w:val="en-GB"/>
        </w:rPr>
        <w:t>Several</w:t>
      </w:r>
      <w:r w:rsidR="005103A7" w:rsidRPr="006F7C1F">
        <w:rPr>
          <w:lang w:val="en-GB"/>
        </w:rPr>
        <w:t xml:space="preserve"> respondents interviewed </w:t>
      </w:r>
      <w:r w:rsidRPr="006F7C1F">
        <w:rPr>
          <w:lang w:val="en-GB"/>
        </w:rPr>
        <w:t>for</w:t>
      </w:r>
      <w:r w:rsidR="005103A7" w:rsidRPr="006F7C1F">
        <w:rPr>
          <w:lang w:val="en-GB"/>
        </w:rPr>
        <w:t xml:space="preserve"> this </w:t>
      </w:r>
      <w:r w:rsidRPr="006F7C1F">
        <w:rPr>
          <w:lang w:val="en-GB"/>
        </w:rPr>
        <w:t>report</w:t>
      </w:r>
      <w:r w:rsidR="00FE12D5" w:rsidRPr="006F7C1F">
        <w:rPr>
          <w:lang w:val="en-GB"/>
        </w:rPr>
        <w:t xml:space="preserve"> </w:t>
      </w:r>
      <w:r w:rsidR="005103A7" w:rsidRPr="006F7C1F">
        <w:rPr>
          <w:lang w:val="en-GB"/>
        </w:rPr>
        <w:t xml:space="preserve">also spoke of a generally insufficient degree of transparency </w:t>
      </w:r>
      <w:r w:rsidRPr="006F7C1F">
        <w:rPr>
          <w:lang w:val="en-GB"/>
        </w:rPr>
        <w:t>among</w:t>
      </w:r>
      <w:r w:rsidR="005103A7" w:rsidRPr="006F7C1F">
        <w:rPr>
          <w:lang w:val="en-GB"/>
        </w:rPr>
        <w:t xml:space="preserve"> CSOs. The director of one of the more prominent grant</w:t>
      </w:r>
      <w:r w:rsidR="00FE12D5" w:rsidRPr="006F7C1F">
        <w:rPr>
          <w:lang w:val="en-GB"/>
        </w:rPr>
        <w:t xml:space="preserve"> </w:t>
      </w:r>
      <w:r w:rsidR="005103A7" w:rsidRPr="006F7C1F">
        <w:rPr>
          <w:lang w:val="en-GB"/>
        </w:rPr>
        <w:t>making organizations in Georgia noted that a majority of Georgian NGOs fail to make their work transparent due to their organisational weakness and often refrain from publicizing their activity reports and financial documents.</w:t>
      </w:r>
      <w:r w:rsidR="00013035" w:rsidRPr="006F7C1F">
        <w:rPr>
          <w:rStyle w:val="FootnoteReference"/>
          <w:lang w:val="en-GB"/>
        </w:rPr>
        <w:footnoteReference w:id="50"/>
      </w:r>
      <w:r w:rsidR="005103A7" w:rsidRPr="006F7C1F">
        <w:rPr>
          <w:lang w:val="en-GB"/>
        </w:rPr>
        <w:t xml:space="preserve"> One explanation is that there is a widespread belief</w:t>
      </w:r>
      <w:r w:rsidR="00013035" w:rsidRPr="006F7C1F">
        <w:rPr>
          <w:lang w:val="en-GB"/>
        </w:rPr>
        <w:t xml:space="preserve"> among CSOs</w:t>
      </w:r>
      <w:r w:rsidR="005103A7" w:rsidRPr="006F7C1F">
        <w:rPr>
          <w:lang w:val="en-GB"/>
        </w:rPr>
        <w:t xml:space="preserve"> that </w:t>
      </w:r>
      <w:r w:rsidR="00013035" w:rsidRPr="006F7C1F">
        <w:rPr>
          <w:lang w:val="en-GB"/>
        </w:rPr>
        <w:t>the</w:t>
      </w:r>
      <w:r w:rsidR="005103A7" w:rsidRPr="006F7C1F">
        <w:rPr>
          <w:lang w:val="en-GB"/>
        </w:rPr>
        <w:t xml:space="preserve"> public</w:t>
      </w:r>
      <w:r w:rsidR="00013035" w:rsidRPr="006F7C1F">
        <w:rPr>
          <w:lang w:val="en-GB"/>
        </w:rPr>
        <w:t xml:space="preserve"> is un</w:t>
      </w:r>
      <w:r w:rsidR="005103A7" w:rsidRPr="006F7C1F">
        <w:rPr>
          <w:lang w:val="en-GB"/>
        </w:rPr>
        <w:t>interest</w:t>
      </w:r>
      <w:r w:rsidR="00013035" w:rsidRPr="006F7C1F">
        <w:rPr>
          <w:lang w:val="en-GB"/>
        </w:rPr>
        <w:t>ed</w:t>
      </w:r>
      <w:r w:rsidR="005103A7" w:rsidRPr="006F7C1F">
        <w:rPr>
          <w:lang w:val="en-GB"/>
        </w:rPr>
        <w:t xml:space="preserve"> in this kind of information. Another</w:t>
      </w:r>
      <w:r w:rsidR="00FE12D5" w:rsidRPr="006F7C1F">
        <w:rPr>
          <w:lang w:val="en-GB"/>
        </w:rPr>
        <w:t xml:space="preserve"> </w:t>
      </w:r>
      <w:r w:rsidR="005103A7" w:rsidRPr="006F7C1F">
        <w:rPr>
          <w:lang w:val="en-GB"/>
        </w:rPr>
        <w:t>senior officer from a donor organisation operating in Georgia recalled the organisation’s attempt to obtain information from the CSOs involved in election monitoring in 2008. She said that a considerable portion of the CSOs they contacted opted not to disclose information about their funding sources. She also noted that there are only five or six CSOs in Georgia that publish their annual reports and financial documents regularly and in a consistent manner.</w:t>
      </w:r>
      <w:r w:rsidR="005103A7" w:rsidRPr="006F7C1F">
        <w:rPr>
          <w:rStyle w:val="FootnoteReference"/>
          <w:lang w:val="en-GB"/>
        </w:rPr>
        <w:footnoteReference w:id="51"/>
      </w: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Accountability (practice)</w:t>
      </w:r>
    </w:p>
    <w:p w:rsidR="005103A7" w:rsidRPr="006F7C1F" w:rsidRDefault="006F7C1F" w:rsidP="006F7C1F">
      <w:pPr>
        <w:jc w:val="both"/>
        <w:rPr>
          <w:lang w:val="en-GB"/>
        </w:rPr>
      </w:pPr>
      <w:r w:rsidRPr="006F7C1F">
        <w:rPr>
          <w:lang w:val="en-GB"/>
        </w:rPr>
        <w:t>Score: 25</w:t>
      </w:r>
    </w:p>
    <w:p w:rsidR="005103A7" w:rsidRPr="006F7C1F" w:rsidRDefault="005103A7" w:rsidP="006F7C1F">
      <w:pPr>
        <w:jc w:val="both"/>
        <w:rPr>
          <w:lang w:val="en-GB"/>
        </w:rPr>
      </w:pPr>
    </w:p>
    <w:p w:rsidR="005103A7" w:rsidRPr="006F7C1F" w:rsidRDefault="005103A7" w:rsidP="006F7C1F">
      <w:pPr>
        <w:jc w:val="both"/>
        <w:rPr>
          <w:i/>
          <w:lang w:val="en-GB"/>
        </w:rPr>
      </w:pPr>
      <w:r w:rsidRPr="006F7C1F">
        <w:rPr>
          <w:i/>
          <w:lang w:val="en-GB"/>
        </w:rPr>
        <w:t>To what extent are CSOs answerable to their constituencies?</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Most CSOs in Georgia do not have strong memberships or constituencies. Coupled with ad hoc  and inconsistent internal governance systems, CSO’s are insufficiently accountable to those they claim to represent. As a result, the only effective accountability mechanisms are </w:t>
      </w:r>
      <w:r w:rsidR="004271CA" w:rsidRPr="006F7C1F">
        <w:rPr>
          <w:lang w:val="en-GB"/>
        </w:rPr>
        <w:t>imposed by donors</w:t>
      </w:r>
      <w:r w:rsidR="00641E35" w:rsidRPr="006F7C1F">
        <w:rPr>
          <w:lang w:val="en-GB"/>
        </w:rPr>
        <w:t xml:space="preserve"> and do not represent downwards (to citizens or members) or horizontal (to other CSOs) accountability</w:t>
      </w:r>
      <w:r w:rsidRPr="006F7C1F">
        <w:rPr>
          <w:lang w:val="en-GB"/>
        </w:rPr>
        <w:t xml:space="preserve">. </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Accountability inside Georgian CSOs is, to some extent, undermined by the structure of these organisations. Few Georgian CSOs are constituency-based organisations,</w:t>
      </w:r>
      <w:r w:rsidR="00FE12D5" w:rsidRPr="006F7C1F">
        <w:rPr>
          <w:lang w:val="en-GB"/>
        </w:rPr>
        <w:t xml:space="preserve"> </w:t>
      </w:r>
      <w:r w:rsidRPr="006F7C1F">
        <w:rPr>
          <w:lang w:val="en-GB"/>
        </w:rPr>
        <w:t xml:space="preserve">and their founders usually try to limit the number of members in order to make it easier to run the organisation,  </w:t>
      </w:r>
      <w:r w:rsidR="00EA7289" w:rsidRPr="006F7C1F">
        <w:rPr>
          <w:lang w:val="en-GB"/>
        </w:rPr>
        <w:t xml:space="preserve">suggesting that most </w:t>
      </w:r>
      <w:r w:rsidRPr="006F7C1F">
        <w:rPr>
          <w:lang w:val="en-GB"/>
        </w:rPr>
        <w:t>CSOs</w:t>
      </w:r>
      <w:r w:rsidR="00EA7289" w:rsidRPr="006F7C1F">
        <w:rPr>
          <w:lang w:val="en-GB"/>
        </w:rPr>
        <w:t xml:space="preserve"> are run in a more “authoritarian” fashion</w:t>
      </w:r>
      <w:r w:rsidRPr="006F7C1F">
        <w:rPr>
          <w:lang w:val="en-GB"/>
        </w:rPr>
        <w:t>.</w:t>
      </w:r>
      <w:r w:rsidR="00EA7289" w:rsidRPr="006F7C1F">
        <w:rPr>
          <w:rStyle w:val="FootnoteReference"/>
          <w:lang w:val="en-GB"/>
        </w:rPr>
        <w:footnoteReference w:id="52"/>
      </w:r>
      <w:r w:rsidR="00FE12D5" w:rsidRPr="006F7C1F">
        <w:rPr>
          <w:lang w:val="en-GB"/>
        </w:rPr>
        <w:t xml:space="preserve"> </w:t>
      </w:r>
      <w:r w:rsidRPr="006F7C1F">
        <w:rPr>
          <w:lang w:val="en-GB"/>
        </w:rPr>
        <w:t>Most CSOs rarely, if ever, invite new members onto their governing boards.</w:t>
      </w:r>
      <w:r w:rsidR="00025050" w:rsidRPr="006F7C1F">
        <w:rPr>
          <w:rStyle w:val="FootnoteReference"/>
          <w:lang w:val="en-GB"/>
        </w:rPr>
        <w:footnoteReference w:id="53"/>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Given the weakness of internal accountability mechanisms of Georgian CSOs, it is primarily up to the donors to ensure accountability of these organisations. According to the experts interviewed by the research team, donors are generally successful in performing this function and the CSOs usually report to them and provide them with the relevant documents because they would otherwise face the prospect of being denied funding in the future. </w:t>
      </w:r>
      <w:r w:rsidRPr="006F7C1F">
        <w:rPr>
          <w:lang w:val="en-US"/>
        </w:rPr>
        <w:t>Tinatin Bolkvadze</w:t>
      </w:r>
      <w:r w:rsidRPr="006F7C1F">
        <w:rPr>
          <w:lang w:val="en-GB"/>
        </w:rPr>
        <w:t xml:space="preserve"> told the research team that the country’s leading CSOs based in the capital usually provide accurate and comprehensive information, while smaller organisations operating in the regions often find it hard to cope with the reporting duties.</w:t>
      </w:r>
      <w:r w:rsidRPr="006F7C1F">
        <w:rPr>
          <w:rStyle w:val="FootnoteReference"/>
          <w:lang w:val="en-GB"/>
        </w:rPr>
        <w:footnoteReference w:id="54"/>
      </w:r>
      <w:r w:rsidRPr="006F7C1F">
        <w:rPr>
          <w:lang w:val="en-GB"/>
        </w:rPr>
        <w:t xml:space="preserve"> Despite these efforts by the donors, the CIVICUS report for Georgia suggests that problems like double accounting (provision of different financial documents to the tax authorities and to donors) may exist, and that some organisations could be getting funding from different donors for the same activity.</w:t>
      </w:r>
      <w:r w:rsidRPr="006F7C1F">
        <w:rPr>
          <w:rStyle w:val="FootnoteReference"/>
          <w:lang w:val="en-GB"/>
        </w:rPr>
        <w:footnoteReference w:id="55"/>
      </w: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Integrity (law</w:t>
      </w:r>
      <w:r w:rsidR="00E7765A" w:rsidRPr="006F7C1F">
        <w:rPr>
          <w:b/>
          <w:lang w:val="en-GB"/>
        </w:rPr>
        <w:t xml:space="preserve"> and practice</w:t>
      </w:r>
      <w:r w:rsidRPr="006F7C1F">
        <w:rPr>
          <w:b/>
          <w:lang w:val="en-GB"/>
        </w:rPr>
        <w:t>)</w:t>
      </w:r>
    </w:p>
    <w:p w:rsidR="005103A7" w:rsidRPr="006F7C1F" w:rsidRDefault="005103A7" w:rsidP="006F7C1F">
      <w:pPr>
        <w:jc w:val="both"/>
        <w:rPr>
          <w:lang w:val="en-GB"/>
        </w:rPr>
      </w:pPr>
      <w:r w:rsidRPr="006F7C1F">
        <w:rPr>
          <w:lang w:val="en-GB"/>
        </w:rPr>
        <w:t>Score: 2</w:t>
      </w:r>
      <w:r w:rsidR="006F7C1F" w:rsidRPr="006F7C1F">
        <w:rPr>
          <w:lang w:val="en-GB"/>
        </w:rPr>
        <w:t>5</w:t>
      </w:r>
    </w:p>
    <w:p w:rsidR="005103A7" w:rsidRPr="006F7C1F" w:rsidRDefault="005103A7" w:rsidP="006F7C1F">
      <w:pPr>
        <w:jc w:val="both"/>
        <w:rPr>
          <w:lang w:val="en-GB"/>
        </w:rPr>
      </w:pPr>
    </w:p>
    <w:p w:rsidR="00E7765A" w:rsidRPr="006F7C1F" w:rsidRDefault="005103A7" w:rsidP="006F7C1F">
      <w:pPr>
        <w:jc w:val="both"/>
        <w:rPr>
          <w:i/>
          <w:lang w:val="en-GB"/>
        </w:rPr>
      </w:pPr>
      <w:r w:rsidRPr="006F7C1F">
        <w:rPr>
          <w:i/>
          <w:lang w:val="en-GB"/>
        </w:rPr>
        <w:t>To what extent are there mechanisms in place to ensure the integrity of CSOs?</w:t>
      </w:r>
      <w:r w:rsidR="00FE12D5" w:rsidRPr="006F7C1F">
        <w:rPr>
          <w:i/>
          <w:lang w:val="en-GB"/>
        </w:rPr>
        <w:t xml:space="preserve"> </w:t>
      </w:r>
      <w:r w:rsidR="00E7765A" w:rsidRPr="006F7C1F">
        <w:rPr>
          <w:i/>
          <w:lang w:val="en-GB"/>
        </w:rPr>
        <w:t>To what extent is the integrity of CSOs ensured in practice?</w:t>
      </w:r>
    </w:p>
    <w:p w:rsidR="005103A7" w:rsidRPr="006F7C1F" w:rsidRDefault="005103A7" w:rsidP="006F7C1F">
      <w:pPr>
        <w:jc w:val="both"/>
        <w:rPr>
          <w:i/>
          <w:lang w:val="en-GB"/>
        </w:rPr>
      </w:pPr>
    </w:p>
    <w:p w:rsidR="00E7765A" w:rsidRPr="006F7C1F" w:rsidRDefault="00E7765A" w:rsidP="006F7C1F">
      <w:pPr>
        <w:jc w:val="both"/>
        <w:rPr>
          <w:lang w:val="en-GB"/>
        </w:rPr>
      </w:pPr>
      <w:r w:rsidRPr="006F7C1F">
        <w:rPr>
          <w:lang w:val="en-GB"/>
        </w:rPr>
        <w:t>In the absence of a sector-wide code of conduct or any other self-regulatory mechanisms, there are hardly any means for ensuring the integrity of CSOs in Georgia at present.</w:t>
      </w:r>
    </w:p>
    <w:p w:rsidR="005103A7" w:rsidRPr="006F7C1F" w:rsidRDefault="005103A7" w:rsidP="006F7C1F">
      <w:pPr>
        <w:jc w:val="both"/>
        <w:rPr>
          <w:lang w:val="en-GB"/>
        </w:rPr>
      </w:pPr>
    </w:p>
    <w:p w:rsidR="00B14968" w:rsidRPr="006F7C1F" w:rsidRDefault="00E7765A" w:rsidP="006F7C1F">
      <w:pPr>
        <w:jc w:val="both"/>
        <w:rPr>
          <w:lang w:val="en-GB"/>
        </w:rPr>
      </w:pPr>
      <w:r w:rsidRPr="006F7C1F">
        <w:rPr>
          <w:lang w:val="en-GB"/>
        </w:rPr>
        <w:t>A civil society c</w:t>
      </w:r>
      <w:r w:rsidR="005103A7" w:rsidRPr="006F7C1F">
        <w:rPr>
          <w:lang w:val="en-GB"/>
        </w:rPr>
        <w:t>ode of ethics was drawn up by a coalition of CSOs and signed by some 30 organisations in 2004.</w:t>
      </w:r>
      <w:r w:rsidR="005103A7" w:rsidRPr="006F7C1F">
        <w:rPr>
          <w:rStyle w:val="FootnoteReference"/>
          <w:lang w:val="en-GB"/>
        </w:rPr>
        <w:footnoteReference w:id="56"/>
      </w:r>
      <w:r w:rsidR="005103A7" w:rsidRPr="006F7C1F">
        <w:rPr>
          <w:lang w:val="en-GB"/>
        </w:rPr>
        <w:t xml:space="preserve"> The document covered areas such as the civil society’s relations with the government, political parties, donors and the general public, as well as internal governance and finance management in CSOs. However, the initiative’s impact was weak, since only a limited number of organisations were involved and the code lacked effective mechanisms for monitoring, assessment and enforcement.</w:t>
      </w:r>
      <w:r w:rsidR="005103A7" w:rsidRPr="006F7C1F">
        <w:rPr>
          <w:rStyle w:val="FootnoteReference"/>
          <w:lang w:val="en-GB"/>
        </w:rPr>
        <w:footnoteReference w:id="57"/>
      </w:r>
      <w:r w:rsidRPr="006F7C1F">
        <w:rPr>
          <w:lang w:val="en-GB"/>
        </w:rPr>
        <w:t xml:space="preserve"> The implementation of the code was limited to issuing annual awards to the organisations that adhere to the principles listed in the document. </w:t>
      </w:r>
      <w:r w:rsidRPr="006F7C1F">
        <w:rPr>
          <w:lang w:val="en-US"/>
        </w:rPr>
        <w:t xml:space="preserve">Two separate </w:t>
      </w:r>
      <w:r w:rsidRPr="006F7C1F">
        <w:rPr>
          <w:lang w:val="en-GB"/>
        </w:rPr>
        <w:t>experts confirmed that this particular self-regulation has generally failed to make a significant impact and has largely become defunct.</w:t>
      </w:r>
      <w:r w:rsidRPr="006F7C1F">
        <w:rPr>
          <w:rStyle w:val="FootnoteReference"/>
          <w:lang w:val="en-GB"/>
        </w:rPr>
        <w:footnoteReference w:id="58"/>
      </w:r>
      <w:r w:rsidR="00B14968" w:rsidRPr="006F7C1F">
        <w:rPr>
          <w:lang w:val="en-GB"/>
        </w:rPr>
        <w:t xml:space="preserve">Currently, the code is not available online. </w:t>
      </w:r>
    </w:p>
    <w:p w:rsidR="00B14968" w:rsidRPr="006F7C1F" w:rsidRDefault="00B14968" w:rsidP="006F7C1F">
      <w:pPr>
        <w:jc w:val="both"/>
        <w:rPr>
          <w:lang w:val="en-GB"/>
        </w:rPr>
      </w:pPr>
    </w:p>
    <w:p w:rsidR="005103A7" w:rsidRPr="006F7C1F" w:rsidRDefault="00E7765A" w:rsidP="006F7C1F">
      <w:pPr>
        <w:jc w:val="both"/>
        <w:rPr>
          <w:lang w:val="en-GB"/>
        </w:rPr>
      </w:pPr>
      <w:r w:rsidRPr="006F7C1F">
        <w:rPr>
          <w:lang w:val="en-GB"/>
        </w:rPr>
        <w:t>A number of organisations have their own internal codes of conduct, but t</w:t>
      </w:r>
      <w:r w:rsidR="005103A7" w:rsidRPr="006F7C1F">
        <w:rPr>
          <w:lang w:val="en-GB"/>
        </w:rPr>
        <w:t>here have been no other significant self-regulation initiatives in recent years.</w:t>
      </w: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Role: Hold government accountable (practice)</w:t>
      </w:r>
    </w:p>
    <w:p w:rsidR="005103A7" w:rsidRPr="006F7C1F" w:rsidRDefault="006F7C1F" w:rsidP="006F7C1F">
      <w:pPr>
        <w:jc w:val="both"/>
        <w:rPr>
          <w:lang w:val="en-GB"/>
        </w:rPr>
      </w:pPr>
      <w:r w:rsidRPr="006F7C1F">
        <w:rPr>
          <w:lang w:val="en-GB"/>
        </w:rPr>
        <w:t>Score: 25</w:t>
      </w:r>
    </w:p>
    <w:p w:rsidR="005103A7" w:rsidRPr="006F7C1F" w:rsidRDefault="005103A7" w:rsidP="006F7C1F">
      <w:pPr>
        <w:jc w:val="both"/>
        <w:rPr>
          <w:lang w:val="en-GB"/>
        </w:rPr>
      </w:pPr>
    </w:p>
    <w:p w:rsidR="005103A7" w:rsidRPr="006F7C1F" w:rsidRDefault="005103A7" w:rsidP="006F7C1F">
      <w:pPr>
        <w:jc w:val="both"/>
        <w:rPr>
          <w:lang w:val="en-GB"/>
        </w:rPr>
      </w:pPr>
      <w:r w:rsidRPr="006F7C1F">
        <w:rPr>
          <w:i/>
          <w:lang w:val="en-GB"/>
        </w:rPr>
        <w:lastRenderedPageBreak/>
        <w:t>To what extent is civil society active and successful in holding government accountable for its actions?</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There are many CSOs in Georgia that monitor the government’s activities. However, the overall ability of the sector to hold authorities accountable is</w:t>
      </w:r>
      <w:r w:rsidR="00FE12D5" w:rsidRPr="006F7C1F">
        <w:rPr>
          <w:lang w:val="en-GB"/>
        </w:rPr>
        <w:t xml:space="preserve"> </w:t>
      </w:r>
      <w:r w:rsidR="008101BE" w:rsidRPr="006F7C1F">
        <w:rPr>
          <w:lang w:val="en-GB"/>
        </w:rPr>
        <w:t xml:space="preserve">severely </w:t>
      </w:r>
      <w:r w:rsidRPr="006F7C1F">
        <w:rPr>
          <w:lang w:val="en-GB"/>
        </w:rPr>
        <w:t xml:space="preserve">limited. This </w:t>
      </w:r>
      <w:r w:rsidR="008101BE" w:rsidRPr="006F7C1F">
        <w:rPr>
          <w:lang w:val="en-GB"/>
        </w:rPr>
        <w:t>is</w:t>
      </w:r>
      <w:r w:rsidRPr="006F7C1F">
        <w:rPr>
          <w:lang w:val="en-GB"/>
        </w:rPr>
        <w:t xml:space="preserve"> the result of both the internal weaknesses of CSOs and the political environment in which they operate.</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Georgian civil society’s ability to serve as a “check and stabilizing influence on the state” has diminished,</w:t>
      </w:r>
      <w:r w:rsidRPr="006F7C1F">
        <w:rPr>
          <w:rStyle w:val="FootnoteReference"/>
          <w:lang w:val="en-GB"/>
        </w:rPr>
        <w:footnoteReference w:id="59"/>
      </w:r>
      <w:r w:rsidRPr="006F7C1F">
        <w:rPr>
          <w:lang w:val="en-GB"/>
        </w:rPr>
        <w:t>and the capacity of CSOs to successfully advocate is low due to their failure to establish “productive working relationships” with the government.</w:t>
      </w:r>
      <w:r w:rsidRPr="006F7C1F">
        <w:rPr>
          <w:rStyle w:val="FootnoteReference"/>
          <w:lang w:val="en-GB"/>
        </w:rPr>
        <w:footnoteReference w:id="60"/>
      </w:r>
      <w:r w:rsidR="00EE5EBE" w:rsidRPr="006F7C1F">
        <w:rPr>
          <w:lang w:val="en-GB"/>
        </w:rPr>
        <w:t xml:space="preserve"> </w:t>
      </w:r>
      <w:r w:rsidRPr="006F7C1F">
        <w:rPr>
          <w:lang w:val="en-GB"/>
        </w:rPr>
        <w:t>While Georgian CSOs are fairly active in monitoring state performance, the impact of these monitoring activities</w:t>
      </w:r>
      <w:r w:rsidR="00FE12D5" w:rsidRPr="006F7C1F">
        <w:rPr>
          <w:lang w:val="en-GB"/>
        </w:rPr>
        <w:t xml:space="preserve"> </w:t>
      </w:r>
      <w:r w:rsidR="00521D54" w:rsidRPr="006F7C1F">
        <w:rPr>
          <w:lang w:val="en-GB"/>
        </w:rPr>
        <w:t>on decision-making is</w:t>
      </w:r>
      <w:r w:rsidR="00FE12D5" w:rsidRPr="006F7C1F">
        <w:rPr>
          <w:lang w:val="en-GB"/>
        </w:rPr>
        <w:t xml:space="preserve"> </w:t>
      </w:r>
      <w:r w:rsidRPr="006F7C1F">
        <w:rPr>
          <w:lang w:val="en-GB"/>
        </w:rPr>
        <w:t>limited.</w:t>
      </w:r>
      <w:r w:rsidRPr="006F7C1F">
        <w:rPr>
          <w:rStyle w:val="FootnoteReference"/>
          <w:lang w:val="en-GB"/>
        </w:rPr>
        <w:footnoteReference w:id="61"/>
      </w:r>
    </w:p>
    <w:p w:rsidR="005103A7" w:rsidRPr="006F7C1F" w:rsidRDefault="005103A7" w:rsidP="006F7C1F">
      <w:pPr>
        <w:jc w:val="both"/>
        <w:rPr>
          <w:lang w:val="en-GB"/>
        </w:rPr>
      </w:pPr>
    </w:p>
    <w:p w:rsidR="00013A05" w:rsidRPr="006F7C1F" w:rsidDel="00013A05" w:rsidRDefault="005103A7" w:rsidP="006F7C1F">
      <w:pPr>
        <w:jc w:val="both"/>
        <w:rPr>
          <w:lang w:val="en-US"/>
        </w:rPr>
      </w:pPr>
      <w:r w:rsidRPr="006F7C1F">
        <w:rPr>
          <w:lang w:val="en-GB"/>
        </w:rPr>
        <w:t>This limited impact is the result of a combination of internal and external factors. Internally, the shortage of highly</w:t>
      </w:r>
      <w:r w:rsidR="00FE12D5" w:rsidRPr="006F7C1F">
        <w:rPr>
          <w:lang w:val="en-GB"/>
        </w:rPr>
        <w:t xml:space="preserve"> </w:t>
      </w:r>
      <w:r w:rsidRPr="006F7C1F">
        <w:rPr>
          <w:lang w:val="en-GB"/>
        </w:rPr>
        <w:t>qualified professionals and the lack of diverse and sustainable</w:t>
      </w:r>
      <w:r w:rsidR="00FE12D5" w:rsidRPr="006F7C1F">
        <w:rPr>
          <w:lang w:val="en-GB"/>
        </w:rPr>
        <w:t xml:space="preserve"> </w:t>
      </w:r>
      <w:r w:rsidRPr="006F7C1F">
        <w:rPr>
          <w:lang w:val="en-GB"/>
        </w:rPr>
        <w:t xml:space="preserve">sources of funding have created a situation </w:t>
      </w:r>
      <w:r w:rsidR="008101BE" w:rsidRPr="006F7C1F">
        <w:rPr>
          <w:lang w:val="en-GB"/>
        </w:rPr>
        <w:t>in which</w:t>
      </w:r>
      <w:r w:rsidR="00FE12D5" w:rsidRPr="006F7C1F">
        <w:rPr>
          <w:lang w:val="en-GB"/>
        </w:rPr>
        <w:t xml:space="preserve"> </w:t>
      </w:r>
      <w:r w:rsidRPr="006F7C1F">
        <w:rPr>
          <w:lang w:val="en-GB"/>
        </w:rPr>
        <w:t>there is “little civil society power and expertise to demand government reform and accountability”.</w:t>
      </w:r>
      <w:r w:rsidRPr="006F7C1F">
        <w:rPr>
          <w:rStyle w:val="FootnoteReference"/>
          <w:lang w:val="en-GB"/>
        </w:rPr>
        <w:footnoteReference w:id="62"/>
      </w:r>
      <w:r w:rsidR="00E8189F" w:rsidRPr="006F7C1F">
        <w:rPr>
          <w:lang w:val="en-GB"/>
        </w:rPr>
        <w:t xml:space="preserve">The ability of CSOs to pressure the government is further weakened by </w:t>
      </w:r>
      <w:r w:rsidRPr="006F7C1F">
        <w:rPr>
          <w:lang w:val="en-GB"/>
        </w:rPr>
        <w:t>the</w:t>
      </w:r>
      <w:r w:rsidR="00E8189F" w:rsidRPr="006F7C1F">
        <w:rPr>
          <w:lang w:val="en-GB"/>
        </w:rPr>
        <w:t>ir</w:t>
      </w:r>
      <w:r w:rsidRPr="006F7C1F">
        <w:rPr>
          <w:lang w:val="en-GB"/>
        </w:rPr>
        <w:t xml:space="preserve"> weak link</w:t>
      </w:r>
      <w:r w:rsidR="00E8189F" w:rsidRPr="006F7C1F">
        <w:rPr>
          <w:lang w:val="en-GB"/>
        </w:rPr>
        <w:t>s</w:t>
      </w:r>
      <w:r w:rsidR="00FE12D5" w:rsidRPr="006F7C1F">
        <w:rPr>
          <w:lang w:val="en-GB"/>
        </w:rPr>
        <w:t xml:space="preserve"> </w:t>
      </w:r>
      <w:r w:rsidR="00E8189F" w:rsidRPr="006F7C1F">
        <w:rPr>
          <w:lang w:val="en-GB"/>
        </w:rPr>
        <w:t>to</w:t>
      </w:r>
      <w:r w:rsidRPr="006F7C1F">
        <w:rPr>
          <w:lang w:val="en-GB"/>
        </w:rPr>
        <w:t xml:space="preserve"> the general public</w:t>
      </w:r>
      <w:r w:rsidR="00E8189F" w:rsidRPr="006F7C1F">
        <w:rPr>
          <w:lang w:val="en-GB"/>
        </w:rPr>
        <w:t>, which to some extent</w:t>
      </w:r>
      <w:r w:rsidRPr="006F7C1F">
        <w:rPr>
          <w:lang w:val="en-GB"/>
        </w:rPr>
        <w:t xml:space="preserve"> undermines the legitimacy of CSOs. Since the number of membership-based CSOs is small in Georgia, most cannot claim to speak on behalf of large social groups when negotiating their positions with political actors.</w:t>
      </w:r>
      <w:r w:rsidRPr="006F7C1F">
        <w:rPr>
          <w:rStyle w:val="FootnoteReference"/>
          <w:lang w:val="en-GB"/>
        </w:rPr>
        <w:footnoteReference w:id="63"/>
      </w:r>
      <w:r w:rsidR="00E8189F" w:rsidRPr="006F7C1F">
        <w:rPr>
          <w:lang w:val="en-GB"/>
        </w:rPr>
        <w:t>This aspect of the civil society landscape is noted by</w:t>
      </w:r>
      <w:r w:rsidR="00521D54" w:rsidRPr="006F7C1F">
        <w:rPr>
          <w:lang w:val="en-GB"/>
        </w:rPr>
        <w:t xml:space="preserve"> almost every major study on the sector: t</w:t>
      </w:r>
      <w:r w:rsidRPr="006F7C1F">
        <w:rPr>
          <w:lang w:val="en-GB"/>
        </w:rPr>
        <w:t xml:space="preserve">he ability of Georgian CSOs to act as mediators between the state and society </w:t>
      </w:r>
      <w:r w:rsidR="00E8189F" w:rsidRPr="006F7C1F">
        <w:rPr>
          <w:lang w:val="en-GB"/>
        </w:rPr>
        <w:t>is said</w:t>
      </w:r>
      <w:r w:rsidRPr="006F7C1F">
        <w:rPr>
          <w:lang w:val="en-GB"/>
        </w:rPr>
        <w:t xml:space="preserve"> to be “severely constrained by their lack of social root</w:t>
      </w:r>
      <w:r w:rsidR="00C67FB4" w:rsidRPr="006F7C1F">
        <w:rPr>
          <w:lang w:val="en-GB"/>
        </w:rPr>
        <w:t xml:space="preserve">s” </w:t>
      </w:r>
      <w:r w:rsidR="003C0B6A" w:rsidRPr="006F7C1F">
        <w:rPr>
          <w:lang w:val="en-GB"/>
        </w:rPr>
        <w:t>due to “loose” bonds with the interests of those they claim to represent</w:t>
      </w:r>
      <w:r w:rsidR="00E8189F" w:rsidRPr="006F7C1F">
        <w:rPr>
          <w:lang w:val="en-GB"/>
        </w:rPr>
        <w:t>;</w:t>
      </w:r>
      <w:r w:rsidR="00C67FB4" w:rsidRPr="006F7C1F">
        <w:rPr>
          <w:rStyle w:val="FootnoteReference"/>
          <w:lang w:val="en-GB"/>
        </w:rPr>
        <w:footnoteReference w:id="64"/>
      </w:r>
      <w:r w:rsidR="00521D54" w:rsidRPr="006F7C1F">
        <w:rPr>
          <w:lang w:val="en-GB"/>
        </w:rPr>
        <w:t>CSOs are</w:t>
      </w:r>
      <w:r w:rsidRPr="006F7C1F">
        <w:rPr>
          <w:lang w:val="en-GB"/>
        </w:rPr>
        <w:t xml:space="preserve"> “somewhat insulated from society at large”</w:t>
      </w:r>
      <w:r w:rsidRPr="006F7C1F">
        <w:rPr>
          <w:rStyle w:val="FootnoteReference"/>
          <w:lang w:val="en-GB"/>
        </w:rPr>
        <w:footnoteReference w:id="65"/>
      </w:r>
      <w:r w:rsidR="00E8189F" w:rsidRPr="006F7C1F">
        <w:rPr>
          <w:lang w:val="en-GB"/>
        </w:rPr>
        <w:t xml:space="preserve">and </w:t>
      </w:r>
      <w:r w:rsidR="00521D54" w:rsidRPr="006F7C1F">
        <w:rPr>
          <w:lang w:val="en-GB"/>
        </w:rPr>
        <w:t>are</w:t>
      </w:r>
      <w:r w:rsidR="00E8189F" w:rsidRPr="006F7C1F">
        <w:rPr>
          <w:lang w:val="en-GB"/>
        </w:rPr>
        <w:t xml:space="preserve"> often seen to pursue an</w:t>
      </w:r>
      <w:r w:rsidRPr="006F7C1F">
        <w:rPr>
          <w:lang w:val="en-GB"/>
        </w:rPr>
        <w:t xml:space="preserve"> agenda </w:t>
      </w:r>
      <w:r w:rsidR="00E8189F" w:rsidRPr="006F7C1F">
        <w:rPr>
          <w:lang w:val="en-GB"/>
        </w:rPr>
        <w:t>that</w:t>
      </w:r>
      <w:r w:rsidRPr="006F7C1F">
        <w:rPr>
          <w:lang w:val="en-GB"/>
        </w:rPr>
        <w:t>do</w:t>
      </w:r>
      <w:r w:rsidR="00E8189F" w:rsidRPr="006F7C1F">
        <w:rPr>
          <w:lang w:val="en-GB"/>
        </w:rPr>
        <w:t>es</w:t>
      </w:r>
      <w:r w:rsidRPr="006F7C1F">
        <w:rPr>
          <w:lang w:val="en-GB"/>
        </w:rPr>
        <w:t xml:space="preserve"> not quite reflect the concerns of the majority of citizens.</w:t>
      </w:r>
      <w:r w:rsidRPr="006F7C1F">
        <w:rPr>
          <w:rStyle w:val="FootnoteReference"/>
          <w:lang w:val="en-GB"/>
        </w:rPr>
        <w:footnoteReference w:id="66"/>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Externally, the government’s dismissive attitude towards CSO’s work also reduces the impact of their monitoring and advocacy.</w:t>
      </w:r>
      <w:r w:rsidR="0066442F" w:rsidRPr="006F7C1F">
        <w:rPr>
          <w:lang w:val="en-GB"/>
        </w:rPr>
        <w:t xml:space="preserve"> In particular, </w:t>
      </w:r>
      <w:r w:rsidR="00600F03" w:rsidRPr="006F7C1F">
        <w:rPr>
          <w:lang w:val="en-GB"/>
        </w:rPr>
        <w:t>government sees engagement of civil society in the policy process</w:t>
      </w:r>
      <w:r w:rsidR="0066442F" w:rsidRPr="006F7C1F">
        <w:rPr>
          <w:lang w:val="en-GB"/>
        </w:rPr>
        <w:t xml:space="preserve"> as a drag that hinders </w:t>
      </w:r>
      <w:r w:rsidR="00422A29" w:rsidRPr="006F7C1F">
        <w:rPr>
          <w:lang w:val="en-GB"/>
        </w:rPr>
        <w:t>quick action.</w:t>
      </w:r>
      <w:r w:rsidRPr="006F7C1F">
        <w:rPr>
          <w:lang w:val="en-GB"/>
        </w:rPr>
        <w:t xml:space="preserve"> NGOs that engage in public affairs find it very difficult to remain neutral because of the highly </w:t>
      </w:r>
      <w:r w:rsidR="00521D54" w:rsidRPr="006F7C1F">
        <w:rPr>
          <w:lang w:val="en-GB"/>
        </w:rPr>
        <w:t>polarized</w:t>
      </w:r>
      <w:r w:rsidR="00FE12D5" w:rsidRPr="006F7C1F">
        <w:rPr>
          <w:lang w:val="en-GB"/>
        </w:rPr>
        <w:t xml:space="preserve"> </w:t>
      </w:r>
      <w:r w:rsidRPr="006F7C1F">
        <w:rPr>
          <w:lang w:val="en-GB"/>
        </w:rPr>
        <w:t>environment.</w:t>
      </w:r>
      <w:r w:rsidRPr="006F7C1F">
        <w:rPr>
          <w:rStyle w:val="FootnoteReference"/>
          <w:lang w:val="en-GB"/>
        </w:rPr>
        <w:footnoteReference w:id="67"/>
      </w:r>
      <w:r w:rsidRPr="006F7C1F">
        <w:rPr>
          <w:lang w:val="en-GB"/>
        </w:rPr>
        <w:t xml:space="preserve"> The government frequently dismisses critical statements by watchdog CSOs as politically motivated attacks by opposition-controlled groups, while the failure of some NGOs to remain constructive</w:t>
      </w:r>
      <w:r w:rsidR="0066442F" w:rsidRPr="006F7C1F">
        <w:rPr>
          <w:lang w:val="en-GB"/>
        </w:rPr>
        <w:t xml:space="preserve"> and unbiased</w:t>
      </w:r>
      <w:r w:rsidRPr="006F7C1F">
        <w:rPr>
          <w:lang w:val="en-GB"/>
        </w:rPr>
        <w:t xml:space="preserve"> in their criticism undermines </w:t>
      </w:r>
      <w:r w:rsidR="0066442F" w:rsidRPr="006F7C1F">
        <w:rPr>
          <w:lang w:val="en-GB"/>
        </w:rPr>
        <w:t>the entire sector’s</w:t>
      </w:r>
      <w:r w:rsidRPr="006F7C1F">
        <w:rPr>
          <w:lang w:val="en-GB"/>
        </w:rPr>
        <w:t xml:space="preserve"> efforts to exercise its advocacy and watchdog functions.</w:t>
      </w:r>
      <w:r w:rsidRPr="006F7C1F">
        <w:rPr>
          <w:rStyle w:val="FootnoteReference"/>
          <w:lang w:val="en-GB"/>
        </w:rPr>
        <w:footnoteReference w:id="68"/>
      </w:r>
      <w:r w:rsidRPr="006F7C1F">
        <w:rPr>
          <w:lang w:val="en-GB"/>
        </w:rPr>
        <w:t xml:space="preserve"> Very few CSO’s are able to walk the line between criticizing government and simultaneously working with government on issues when there is an opportunity for constructive engagement.</w:t>
      </w:r>
    </w:p>
    <w:p w:rsidR="0066442F" w:rsidRPr="006F7C1F" w:rsidRDefault="0066442F" w:rsidP="006F7C1F">
      <w:pPr>
        <w:jc w:val="both"/>
        <w:rPr>
          <w:lang w:val="en-GB"/>
        </w:rPr>
      </w:pPr>
    </w:p>
    <w:p w:rsidR="0066442F" w:rsidRPr="006F7C1F" w:rsidRDefault="0066442F" w:rsidP="006F7C1F">
      <w:pPr>
        <w:jc w:val="both"/>
        <w:rPr>
          <w:lang w:val="en-GB"/>
        </w:rPr>
      </w:pPr>
      <w:r w:rsidRPr="006F7C1F">
        <w:rPr>
          <w:lang w:val="en-GB"/>
        </w:rPr>
        <w:t>The lack of pluralism in Parliament and lack of independent television media also limit the ability of CSOs to operate effectively. CSOs have fewer credible partners in influential media and opposition parties since the Rose Revolution. Whereas before 2004, CSOs stood frequently with the opposition and major television outlets, today they are discredited if they do so. Major television stations do not report on issues the government regards as sensitive, severely limiting the space for CSOs to access the public. For example, none of the major television stations covered the August 2010 evictions of IDPs from Tbilisi, an issue that received major attention from CSOs and alternative media outlets. Prior to 2004, the government and media were themselves divided as power was held by actors both within and outside the state, allowing space for CSOs and media to operate without the polarized and stigmatized classification of “pro-government” or “pro-opposition” that exists today.</w:t>
      </w:r>
    </w:p>
    <w:p w:rsidR="005103A7" w:rsidRPr="006F7C1F" w:rsidRDefault="005103A7" w:rsidP="006F7C1F">
      <w:pPr>
        <w:jc w:val="both"/>
        <w:rPr>
          <w:lang w:val="en-GB"/>
        </w:rPr>
      </w:pPr>
    </w:p>
    <w:p w:rsidR="00884D61" w:rsidRPr="006F7C1F" w:rsidRDefault="005103A7" w:rsidP="006F7C1F">
      <w:pPr>
        <w:jc w:val="both"/>
        <w:rPr>
          <w:lang w:val="en-GB"/>
        </w:rPr>
      </w:pPr>
      <w:r w:rsidRPr="006F7C1F">
        <w:rPr>
          <w:lang w:val="en-GB"/>
        </w:rPr>
        <w:t xml:space="preserve">Nevertheless, Georgian CSOs have had some achievements in terms of holding the government accountable. Freedom House cites the case </w:t>
      </w:r>
      <w:r w:rsidR="0066442F" w:rsidRPr="006F7C1F">
        <w:rPr>
          <w:lang w:val="en-GB"/>
        </w:rPr>
        <w:t>of</w:t>
      </w:r>
      <w:r w:rsidR="00FE12D5" w:rsidRPr="006F7C1F">
        <w:rPr>
          <w:lang w:val="en-GB"/>
        </w:rPr>
        <w:t xml:space="preserve"> </w:t>
      </w:r>
      <w:r w:rsidRPr="006F7C1F">
        <w:rPr>
          <w:lang w:val="en-GB"/>
        </w:rPr>
        <w:t xml:space="preserve">a network of CSOs funded by the Soros Foundation </w:t>
      </w:r>
      <w:r w:rsidR="0066442F" w:rsidRPr="006F7C1F">
        <w:rPr>
          <w:lang w:val="en-GB"/>
        </w:rPr>
        <w:t xml:space="preserve">that </w:t>
      </w:r>
      <w:r w:rsidRPr="006F7C1F">
        <w:rPr>
          <w:lang w:val="en-GB"/>
        </w:rPr>
        <w:t>helped spur change of leadership at the Millennium Challenge Georgia Fund due to its lack of transparency as a successful example of watchdog activities.</w:t>
      </w:r>
      <w:r w:rsidRPr="006F7C1F">
        <w:rPr>
          <w:rStyle w:val="FootnoteReference"/>
          <w:lang w:val="en-GB"/>
        </w:rPr>
        <w:footnoteReference w:id="69"/>
      </w:r>
      <w:r w:rsidRPr="006F7C1F">
        <w:rPr>
          <w:lang w:val="en-GB"/>
        </w:rPr>
        <w:t>The CSO campaigns against torture in preliminary detention facilities and an independent investigation</w:t>
      </w:r>
      <w:r w:rsidR="007E5558" w:rsidRPr="006F7C1F">
        <w:rPr>
          <w:lang w:val="en-GB"/>
        </w:rPr>
        <w:t>,</w:t>
      </w:r>
      <w:r w:rsidRPr="006F7C1F">
        <w:rPr>
          <w:lang w:val="en-GB"/>
        </w:rPr>
        <w:t xml:space="preserve"> which eventually resulted in the resignation of an MP who had allegedly engaged in prohibited economic activities</w:t>
      </w:r>
      <w:r w:rsidR="007E5558" w:rsidRPr="006F7C1F">
        <w:rPr>
          <w:lang w:val="en-GB"/>
        </w:rPr>
        <w:t>,</w:t>
      </w:r>
      <w:r w:rsidRPr="006F7C1F">
        <w:rPr>
          <w:lang w:val="en-GB"/>
        </w:rPr>
        <w:t xml:space="preserve"> have also been highlighted as noteworthy achievements.</w:t>
      </w:r>
      <w:r w:rsidRPr="006F7C1F">
        <w:rPr>
          <w:rStyle w:val="FootnoteReference"/>
          <w:lang w:val="en-GB"/>
        </w:rPr>
        <w:footnoteReference w:id="70"/>
      </w:r>
    </w:p>
    <w:p w:rsidR="00884D61" w:rsidRPr="006F7C1F" w:rsidRDefault="00884D61"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lang w:val="en-GB"/>
        </w:rPr>
      </w:pPr>
    </w:p>
    <w:p w:rsidR="005103A7" w:rsidRPr="006F7C1F" w:rsidRDefault="005103A7" w:rsidP="006F7C1F">
      <w:pPr>
        <w:jc w:val="both"/>
        <w:rPr>
          <w:b/>
          <w:lang w:val="en-GB"/>
        </w:rPr>
      </w:pPr>
      <w:r w:rsidRPr="006F7C1F">
        <w:rPr>
          <w:b/>
          <w:lang w:val="en-GB"/>
        </w:rPr>
        <w:t>Role: Policy reform (practice)</w:t>
      </w:r>
    </w:p>
    <w:p w:rsidR="005103A7" w:rsidRPr="006F7C1F" w:rsidRDefault="005103A7" w:rsidP="006F7C1F">
      <w:pPr>
        <w:jc w:val="both"/>
        <w:rPr>
          <w:lang w:val="en-GB"/>
        </w:rPr>
      </w:pPr>
      <w:r w:rsidRPr="006F7C1F">
        <w:rPr>
          <w:lang w:val="en-GB"/>
        </w:rPr>
        <w:t>Score: 2</w:t>
      </w:r>
      <w:r w:rsidR="006F7C1F" w:rsidRPr="006F7C1F">
        <w:rPr>
          <w:lang w:val="en-GB"/>
        </w:rPr>
        <w:t>5</w:t>
      </w:r>
    </w:p>
    <w:p w:rsidR="005103A7" w:rsidRPr="006F7C1F" w:rsidRDefault="005103A7" w:rsidP="006F7C1F">
      <w:pPr>
        <w:jc w:val="both"/>
        <w:rPr>
          <w:lang w:val="en-GB"/>
        </w:rPr>
      </w:pPr>
    </w:p>
    <w:p w:rsidR="005103A7" w:rsidRPr="006F7C1F" w:rsidRDefault="005103A7" w:rsidP="006F7C1F">
      <w:pPr>
        <w:jc w:val="both"/>
        <w:rPr>
          <w:i/>
          <w:lang w:val="en-GB"/>
        </w:rPr>
      </w:pPr>
      <w:r w:rsidRPr="006F7C1F">
        <w:rPr>
          <w:i/>
          <w:lang w:val="en-GB"/>
        </w:rPr>
        <w:t>To what extent is civil society actively engaged in policy reform initiatives on anti-corruption?</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 xml:space="preserve">Georgia has a number of CSOs that have worked actively and continuously on corruption-related issues in recent years. However, the ability of Georgian CSOs to participate in the formulation of government policies (including </w:t>
      </w:r>
      <w:r w:rsidR="00072175" w:rsidRPr="006F7C1F">
        <w:rPr>
          <w:lang w:val="en-GB"/>
        </w:rPr>
        <w:t>anti-corruption policies</w:t>
      </w:r>
      <w:r w:rsidRPr="006F7C1F">
        <w:rPr>
          <w:lang w:val="en-GB"/>
        </w:rPr>
        <w:t xml:space="preserve">) </w:t>
      </w:r>
      <w:r w:rsidR="00072175" w:rsidRPr="006F7C1F">
        <w:rPr>
          <w:lang w:val="en-GB"/>
        </w:rPr>
        <w:t>is</w:t>
      </w:r>
      <w:r w:rsidRPr="006F7C1F">
        <w:rPr>
          <w:lang w:val="en-GB"/>
        </w:rPr>
        <w:t xml:space="preserve"> constrained by the same general factors that limit </w:t>
      </w:r>
      <w:r w:rsidR="00072175" w:rsidRPr="006F7C1F">
        <w:rPr>
          <w:lang w:val="en-GB"/>
        </w:rPr>
        <w:t>the</w:t>
      </w:r>
      <w:r w:rsidRPr="006F7C1F">
        <w:rPr>
          <w:lang w:val="en-GB"/>
        </w:rPr>
        <w:t xml:space="preserve"> capacity </w:t>
      </w:r>
      <w:r w:rsidR="00072175" w:rsidRPr="006F7C1F">
        <w:rPr>
          <w:lang w:val="en-GB"/>
        </w:rPr>
        <w:t xml:space="preserve">of CSOs </w:t>
      </w:r>
      <w:r w:rsidRPr="006F7C1F">
        <w:rPr>
          <w:lang w:val="en-GB"/>
        </w:rPr>
        <w:t>to hold the government accountable</w:t>
      </w:r>
      <w:r w:rsidR="00072175" w:rsidRPr="006F7C1F">
        <w:rPr>
          <w:lang w:val="en-GB"/>
        </w:rPr>
        <w:t>, as described in the section above</w:t>
      </w:r>
      <w:r w:rsidRPr="006F7C1F">
        <w:rPr>
          <w:lang w:val="en-GB"/>
        </w:rPr>
        <w:t>.</w:t>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First, the ability of CSOs to influence government policies is undermined by the internal weaknesses of these organisations. Due to inadequate funding and the resulting shortage of professional staff, the majority of CSOs are only able to offer political advice and policy analysis on a limited scale.</w:t>
      </w:r>
      <w:r w:rsidRPr="006F7C1F">
        <w:rPr>
          <w:rStyle w:val="FootnoteReference"/>
          <w:lang w:val="en-GB"/>
        </w:rPr>
        <w:footnoteReference w:id="71"/>
      </w:r>
      <w:r w:rsidRPr="006F7C1F">
        <w:rPr>
          <w:lang w:val="en-GB"/>
        </w:rPr>
        <w:t>To influence policy, which often occurs at lightning pace, CSO’s need highly professional staff who are able to respond immediately when opportunities to be involved in policy reform arise.</w:t>
      </w:r>
      <w:r w:rsidR="00451494" w:rsidRPr="006F7C1F">
        <w:rPr>
          <w:lang w:val="en-GB"/>
        </w:rPr>
        <w:t xml:space="preserve"> Yet tight budgets mean that most CSOs have limited human resources with which to react to new political developments.</w:t>
      </w:r>
      <w:r w:rsidR="00FE12D5" w:rsidRPr="006F7C1F">
        <w:rPr>
          <w:lang w:val="en-GB"/>
        </w:rPr>
        <w:t xml:space="preserve"> </w:t>
      </w:r>
      <w:r w:rsidRPr="006F7C1F">
        <w:rPr>
          <w:lang w:val="en-GB"/>
        </w:rPr>
        <w:t xml:space="preserve">Also, given the lack of </w:t>
      </w:r>
      <w:r w:rsidRPr="006F7C1F">
        <w:rPr>
          <w:lang w:val="en-GB"/>
        </w:rPr>
        <w:lastRenderedPageBreak/>
        <w:t xml:space="preserve">connection between civil society and the general public </w:t>
      </w:r>
      <w:r w:rsidR="00451494" w:rsidRPr="006F7C1F">
        <w:rPr>
          <w:lang w:val="en-GB"/>
        </w:rPr>
        <w:t xml:space="preserve">as </w:t>
      </w:r>
      <w:r w:rsidRPr="006F7C1F">
        <w:rPr>
          <w:lang w:val="en-GB"/>
        </w:rPr>
        <w:t xml:space="preserve">discussed </w:t>
      </w:r>
      <w:r w:rsidR="00451494" w:rsidRPr="006F7C1F">
        <w:rPr>
          <w:lang w:val="en-GB"/>
        </w:rPr>
        <w:t xml:space="preserve">in the section </w:t>
      </w:r>
      <w:r w:rsidRPr="006F7C1F">
        <w:rPr>
          <w:lang w:val="en-GB"/>
        </w:rPr>
        <w:t xml:space="preserve">above, </w:t>
      </w:r>
      <w:r w:rsidR="007227A8" w:rsidRPr="006F7C1F">
        <w:rPr>
          <w:lang w:val="en-GB"/>
        </w:rPr>
        <w:t>it is more</w:t>
      </w:r>
      <w:r w:rsidRPr="006F7C1F">
        <w:rPr>
          <w:lang w:val="en-GB"/>
        </w:rPr>
        <w:t xml:space="preserve"> difficult</w:t>
      </w:r>
      <w:r w:rsidR="007227A8" w:rsidRPr="006F7C1F">
        <w:rPr>
          <w:lang w:val="en-GB"/>
        </w:rPr>
        <w:t xml:space="preserve"> for CSOs</w:t>
      </w:r>
      <w:r w:rsidRPr="006F7C1F">
        <w:rPr>
          <w:lang w:val="en-GB"/>
        </w:rPr>
        <w:t xml:space="preserve"> to legitimise their involvement in public decision</w:t>
      </w:r>
      <w:r w:rsidR="00651E9C" w:rsidRPr="006F7C1F">
        <w:rPr>
          <w:lang w:val="en-GB"/>
        </w:rPr>
        <w:t>-</w:t>
      </w:r>
      <w:r w:rsidRPr="006F7C1F">
        <w:rPr>
          <w:lang w:val="en-GB"/>
        </w:rPr>
        <w:t>making.</w:t>
      </w:r>
      <w:r w:rsidRPr="006F7C1F">
        <w:rPr>
          <w:rStyle w:val="FootnoteReference"/>
          <w:lang w:val="en-GB"/>
        </w:rPr>
        <w:footnoteReference w:id="72"/>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Second, the possibility of civil society’s involvement in the development and reform of government policies is affected negatively by the political environment. NGO recommendations generally have little impact on policy decisions since the ruling party’s total dominance of parliament and its considerable influence over the media</w:t>
      </w:r>
      <w:r w:rsidR="00FE12D5" w:rsidRPr="006F7C1F">
        <w:rPr>
          <w:lang w:val="en-GB"/>
        </w:rPr>
        <w:t xml:space="preserve"> </w:t>
      </w:r>
      <w:r w:rsidRPr="006F7C1F">
        <w:rPr>
          <w:lang w:val="en-GB"/>
        </w:rPr>
        <w:t>makes it easy to ignore NGO criticism of draft legislation.</w:t>
      </w:r>
      <w:r w:rsidRPr="006F7C1F">
        <w:rPr>
          <w:rStyle w:val="FootnoteReference"/>
          <w:lang w:val="en-GB"/>
        </w:rPr>
        <w:footnoteReference w:id="73"/>
      </w:r>
      <w:r w:rsidRPr="006F7C1F">
        <w:rPr>
          <w:lang w:val="en-GB"/>
        </w:rPr>
        <w:t>Also, as mentioned in the chapter on the legislature, draft bills are not always made public in a timely manner, which limits the possibility of NGO input. The dialogue between the government and CSOs is not institutionalised and the organisations that are more critical of the authorities tend to be excluded from this dialogue.</w:t>
      </w:r>
      <w:r w:rsidRPr="006F7C1F">
        <w:rPr>
          <w:rStyle w:val="FootnoteReference"/>
          <w:lang w:val="en-GB"/>
        </w:rPr>
        <w:footnoteReference w:id="74"/>
      </w:r>
    </w:p>
    <w:p w:rsidR="005103A7" w:rsidRPr="006F7C1F" w:rsidRDefault="005103A7" w:rsidP="006F7C1F">
      <w:pPr>
        <w:jc w:val="both"/>
        <w:rPr>
          <w:lang w:val="en-GB"/>
        </w:rPr>
      </w:pPr>
    </w:p>
    <w:p w:rsidR="005103A7" w:rsidRPr="006F7C1F" w:rsidRDefault="005103A7" w:rsidP="006F7C1F">
      <w:pPr>
        <w:jc w:val="both"/>
        <w:rPr>
          <w:lang w:val="en-GB"/>
        </w:rPr>
      </w:pPr>
      <w:r w:rsidRPr="006F7C1F">
        <w:rPr>
          <w:lang w:val="en-GB"/>
        </w:rPr>
        <w:t>The Bertelsmann Transformation Index 2008 country report for Georgia notes that the failure to include broader segments of society, such as watchdog NGOs, is one missing link in the government’s anti-corruption policy.</w:t>
      </w:r>
      <w:r w:rsidRPr="006F7C1F">
        <w:rPr>
          <w:rStyle w:val="FootnoteReference"/>
          <w:lang w:val="en-GB"/>
        </w:rPr>
        <w:footnoteReference w:id="75"/>
      </w:r>
      <w:r w:rsidR="00440EDD" w:rsidRPr="006F7C1F">
        <w:rPr>
          <w:lang w:val="en-GB"/>
        </w:rPr>
        <w:t xml:space="preserve"> </w:t>
      </w:r>
      <w:r w:rsidR="00882461" w:rsidRPr="006F7C1F">
        <w:rPr>
          <w:lang w:val="en-GB"/>
        </w:rPr>
        <w:t>Since late 2008, the situation has slightly improved: t</w:t>
      </w:r>
      <w:r w:rsidR="00287A1E" w:rsidRPr="006F7C1F">
        <w:rPr>
          <w:lang w:val="en-GB"/>
        </w:rPr>
        <w:t>wo representatives of civil society (TI Georgia and the Georgian Young Lawyers Association), participate in the work of Georgia’s Anti-Corruption Coordination Council</w:t>
      </w:r>
      <w:r w:rsidR="00882461" w:rsidRPr="006F7C1F">
        <w:rPr>
          <w:lang w:val="en-GB"/>
        </w:rPr>
        <w:t>.</w:t>
      </w:r>
      <w:r w:rsidR="00287A1E" w:rsidRPr="006F7C1F">
        <w:rPr>
          <w:lang w:val="en-GB"/>
        </w:rPr>
        <w:t xml:space="preserve"> This is a positive step, but as the chapter on the Anti-Corruption Coordination Council </w:t>
      </w:r>
      <w:r w:rsidR="00882461" w:rsidRPr="006F7C1F">
        <w:rPr>
          <w:lang w:val="en-GB"/>
        </w:rPr>
        <w:t>describes</w:t>
      </w:r>
      <w:r w:rsidR="00287A1E" w:rsidRPr="006F7C1F">
        <w:rPr>
          <w:lang w:val="en-GB"/>
        </w:rPr>
        <w:t>, the opportunities and mechanisms for contributing to the Council’s work are ad hoc and fairly superficial.</w:t>
      </w:r>
    </w:p>
    <w:sectPr w:rsidR="005103A7" w:rsidRPr="006F7C1F" w:rsidSect="006F7C1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B43" w:rsidRDefault="00794B43">
      <w:r>
        <w:separator/>
      </w:r>
    </w:p>
  </w:endnote>
  <w:endnote w:type="continuationSeparator" w:id="0">
    <w:p w:rsidR="00794B43" w:rsidRDefault="00794B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8E" w:rsidRDefault="00EF1B1D">
    <w:pPr>
      <w:pStyle w:val="Footer"/>
      <w:jc w:val="right"/>
    </w:pPr>
    <w:fldSimple w:instr=" PAGE   \* MERGEFORMAT ">
      <w:r w:rsidR="00D34461">
        <w:rPr>
          <w:noProof/>
        </w:rPr>
        <w:t>1</w:t>
      </w:r>
    </w:fldSimple>
  </w:p>
  <w:p w:rsidR="00D07B8E" w:rsidRDefault="00D07B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B43" w:rsidRDefault="00794B43">
      <w:r>
        <w:separator/>
      </w:r>
    </w:p>
  </w:footnote>
  <w:footnote w:type="continuationSeparator" w:id="0">
    <w:p w:rsidR="00794B43" w:rsidRDefault="00794B43">
      <w:r>
        <w:continuationSeparator/>
      </w:r>
    </w:p>
  </w:footnote>
  <w:footnote w:id="1">
    <w:p w:rsidR="00D07B8E" w:rsidRPr="00AC30C4" w:rsidRDefault="00D07B8E">
      <w:pPr>
        <w:pStyle w:val="FootnoteText"/>
        <w:rPr>
          <w:lang w:val="en-US"/>
        </w:rPr>
      </w:pPr>
      <w:r w:rsidRPr="00AC30C4">
        <w:rPr>
          <w:rStyle w:val="FootnoteReference"/>
        </w:rPr>
        <w:footnoteRef/>
      </w:r>
      <w:r w:rsidRPr="00AC30C4">
        <w:t xml:space="preserve"> </w:t>
      </w:r>
      <w:r w:rsidRPr="00AC30C4">
        <w:rPr>
          <w:lang w:val="en-US"/>
        </w:rPr>
        <w:t xml:space="preserve">Caucasus Institute for Peace, Democracy and Development, </w:t>
      </w:r>
      <w:r w:rsidRPr="00AC30C4">
        <w:rPr>
          <w:i/>
          <w:lang w:val="en-US"/>
        </w:rPr>
        <w:t>An Assessment of Georgia Civil Society: Report of the CIVICUS Civil Society Index</w:t>
      </w:r>
      <w:r w:rsidRPr="00AC30C4">
        <w:rPr>
          <w:lang w:val="en-US"/>
        </w:rPr>
        <w:t xml:space="preserve"> </w:t>
      </w:r>
      <w:r w:rsidRPr="00AC30C4">
        <w:rPr>
          <w:i/>
          <w:lang w:val="en-US"/>
        </w:rPr>
        <w:t xml:space="preserve">(2010), </w:t>
      </w:r>
      <w:r w:rsidRPr="00AC30C4">
        <w:rPr>
          <w:lang w:val="en-US"/>
        </w:rPr>
        <w:t>Tbilisi, Georgia, 22.</w:t>
      </w:r>
    </w:p>
  </w:footnote>
  <w:footnote w:id="2">
    <w:p w:rsidR="00D07B8E" w:rsidRPr="00AC30C4" w:rsidRDefault="00D07B8E">
      <w:pPr>
        <w:pStyle w:val="FootnoteText"/>
        <w:rPr>
          <w:lang w:val="en-US"/>
        </w:rPr>
      </w:pPr>
      <w:r w:rsidRPr="00AC30C4">
        <w:rPr>
          <w:rStyle w:val="FootnoteReference"/>
        </w:rPr>
        <w:footnoteRef/>
      </w:r>
      <w:r w:rsidRPr="00AC30C4">
        <w:t xml:space="preserve"> </w:t>
      </w:r>
      <w:r w:rsidRPr="00AC30C4">
        <w:rPr>
          <w:lang w:val="en-US"/>
        </w:rPr>
        <w:t xml:space="preserve">Website of the Ministry of Finance of Georgia, Registry of Charitable Organizations, </w:t>
      </w:r>
      <w:hyperlink r:id="rId1" w:history="1">
        <w:r w:rsidRPr="00AC30C4">
          <w:rPr>
            <w:rStyle w:val="Hyperlink"/>
            <w:lang w:val="en-US"/>
          </w:rPr>
          <w:t>http://mof.ge/2328</w:t>
        </w:r>
      </w:hyperlink>
      <w:r w:rsidRPr="00AC30C4">
        <w:rPr>
          <w:lang w:val="en-US"/>
        </w:rPr>
        <w:t xml:space="preserve"> [Georgian only], accessed 7 April 2011.</w:t>
      </w:r>
    </w:p>
  </w:footnote>
  <w:footnote w:id="3">
    <w:p w:rsidR="00D07B8E" w:rsidRPr="00AC30C4" w:rsidRDefault="00D07B8E">
      <w:pPr>
        <w:pStyle w:val="FootnoteText"/>
        <w:rPr>
          <w:lang w:val="en-US"/>
        </w:rPr>
      </w:pPr>
      <w:r w:rsidRPr="00AC30C4">
        <w:rPr>
          <w:rStyle w:val="FootnoteReference"/>
        </w:rPr>
        <w:footnoteRef/>
      </w:r>
      <w:r w:rsidRPr="00AC30C4">
        <w:t xml:space="preserve"> </w:t>
      </w:r>
      <w:r w:rsidRPr="00AC30C4">
        <w:rPr>
          <w:lang w:val="en-US"/>
        </w:rPr>
        <w:t>Civil Code of Georgia, Art. 39.</w:t>
      </w:r>
    </w:p>
  </w:footnote>
  <w:footnote w:id="4">
    <w:p w:rsidR="00D07B8E" w:rsidRPr="00AC30C4" w:rsidRDefault="00D07B8E" w:rsidP="005103A7">
      <w:pPr>
        <w:pStyle w:val="FootnoteText"/>
        <w:rPr>
          <w:lang w:val="en-US"/>
        </w:rPr>
      </w:pPr>
      <w:r w:rsidRPr="00AC30C4">
        <w:rPr>
          <w:rStyle w:val="FootnoteReference"/>
        </w:rPr>
        <w:footnoteRef/>
      </w:r>
      <w:r w:rsidRPr="00AC30C4">
        <w:rPr>
          <w:lang w:val="en-US"/>
        </w:rPr>
        <w:t xml:space="preserve"> USAID, </w:t>
      </w:r>
      <w:r w:rsidRPr="00AC30C4">
        <w:rPr>
          <w:i/>
          <w:lang w:val="en-US"/>
        </w:rPr>
        <w:t xml:space="preserve">2008 NGO Sustainability Index for Central and Eastern Europe and Eurasia </w:t>
      </w:r>
      <w:r w:rsidRPr="00AC30C4">
        <w:rPr>
          <w:lang w:val="en-US"/>
        </w:rPr>
        <w:t xml:space="preserve">(Washington: U.S. Agency for International Development, Bureau for Europe and Eurasia, Office of Democracy, Governance and Social Transition, 2009), 108; also, </w:t>
      </w:r>
      <w:r w:rsidRPr="00AC30C4">
        <w:rPr>
          <w:lang w:val="en-GB"/>
        </w:rPr>
        <w:t xml:space="preserve">Freedom House, </w:t>
      </w:r>
      <w:r w:rsidRPr="00AC30C4">
        <w:rPr>
          <w:i/>
          <w:lang w:val="en-GB"/>
        </w:rPr>
        <w:t>Nations in Transit: Georgia (2008)</w:t>
      </w:r>
      <w:r w:rsidRPr="00AC30C4">
        <w:rPr>
          <w:lang w:val="en-GB"/>
        </w:rPr>
        <w:t xml:space="preserve">, </w:t>
      </w:r>
      <w:hyperlink r:id="rId2" w:history="1">
        <w:r w:rsidRPr="00AC30C4">
          <w:rPr>
            <w:rStyle w:val="Hyperlink"/>
            <w:lang w:val="en-US"/>
          </w:rPr>
          <w:t>http://www.freedomhouse.org/template.cfm?page=47&amp;nit=452&amp;year=2008</w:t>
        </w:r>
      </w:hyperlink>
      <w:r w:rsidRPr="00AC30C4">
        <w:rPr>
          <w:lang w:val="en-US"/>
        </w:rPr>
        <w:t xml:space="preserve"> (accessed on 8 December 2009)</w:t>
      </w:r>
    </w:p>
  </w:footnote>
  <w:footnote w:id="5">
    <w:p w:rsidR="00D07B8E" w:rsidRPr="00AC30C4" w:rsidRDefault="00D07B8E" w:rsidP="005103A7">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(Tbilisi: Centre for Training and Consultancy, 2005), 43.</w:t>
      </w:r>
    </w:p>
  </w:footnote>
  <w:footnote w:id="6">
    <w:p w:rsidR="00D07B8E" w:rsidRPr="00AC30C4" w:rsidRDefault="00D07B8E" w:rsidP="008C4C45">
      <w:pPr>
        <w:pStyle w:val="FootnoteText"/>
        <w:rPr>
          <w:lang w:val="en-US"/>
        </w:rPr>
      </w:pPr>
      <w:r w:rsidRPr="00AC30C4">
        <w:rPr>
          <w:rStyle w:val="FootnoteReference"/>
        </w:rPr>
        <w:footnoteRef/>
      </w:r>
      <w:r w:rsidRPr="00AC30C4">
        <w:rPr>
          <w:lang w:val="en-US"/>
        </w:rPr>
        <w:t xml:space="preserve"> Georgian Constitution (adopted on 24 August 1995), Article 26, Paragraph 1.</w:t>
      </w:r>
    </w:p>
  </w:footnote>
  <w:footnote w:id="7">
    <w:p w:rsidR="00D07B8E" w:rsidRPr="00AC30C4" w:rsidRDefault="00D07B8E" w:rsidP="008C4C45">
      <w:pPr>
        <w:pStyle w:val="FootnoteText"/>
        <w:rPr>
          <w:lang w:val="en-US"/>
        </w:rPr>
      </w:pPr>
      <w:r w:rsidRPr="00AC30C4">
        <w:rPr>
          <w:rStyle w:val="FootnoteReference"/>
        </w:rPr>
        <w:footnoteRef/>
      </w:r>
      <w:r w:rsidRPr="00AC30C4">
        <w:rPr>
          <w:lang w:val="en-US"/>
        </w:rPr>
        <w:t xml:space="preserve"> Articles 27-31, Georgian Civil Code, adopted 26 June 1997.</w:t>
      </w:r>
    </w:p>
  </w:footnote>
  <w:footnote w:id="8">
    <w:p w:rsidR="00D07B8E" w:rsidRPr="00AC30C4" w:rsidRDefault="00D07B8E" w:rsidP="008C4C45">
      <w:pPr>
        <w:pStyle w:val="FootnoteText"/>
        <w:rPr>
          <w:lang w:val="en-US"/>
        </w:rPr>
      </w:pPr>
      <w:r w:rsidRPr="00AC30C4">
        <w:rPr>
          <w:rStyle w:val="FootnoteReference"/>
        </w:rPr>
        <w:footnoteRef/>
      </w:r>
      <w:r w:rsidRPr="00AC30C4">
        <w:rPr>
          <w:lang w:val="en-US"/>
        </w:rPr>
        <w:t xml:space="preserve"> Article 39, Georgian Civil Code.</w:t>
      </w:r>
    </w:p>
  </w:footnote>
  <w:footnote w:id="9">
    <w:p w:rsidR="00D07B8E" w:rsidRPr="00AC30C4" w:rsidRDefault="00D07B8E" w:rsidP="008C4C45">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47.</w:t>
      </w:r>
    </w:p>
  </w:footnote>
  <w:footnote w:id="10">
    <w:p w:rsidR="00D07B8E" w:rsidRPr="00AC30C4" w:rsidRDefault="00D07B8E" w:rsidP="008C4C45">
      <w:pPr>
        <w:rPr>
          <w:sz w:val="20"/>
          <w:szCs w:val="20"/>
          <w:lang w:val="en-US"/>
        </w:rPr>
      </w:pPr>
      <w:r w:rsidRPr="00AC30C4">
        <w:rPr>
          <w:rStyle w:val="FootnoteReference"/>
          <w:sz w:val="20"/>
          <w:szCs w:val="20"/>
        </w:rPr>
        <w:footnoteRef/>
      </w:r>
      <w:r w:rsidRPr="00AC30C4">
        <w:rPr>
          <w:sz w:val="20"/>
          <w:szCs w:val="20"/>
          <w:lang w:val="en-US"/>
        </w:rPr>
        <w:t xml:space="preserve"> 2010 Tax Code, Article 99. </w:t>
      </w:r>
    </w:p>
  </w:footnote>
  <w:footnote w:id="11">
    <w:p w:rsidR="00D07B8E" w:rsidRPr="00AC30C4" w:rsidRDefault="00D07B8E" w:rsidP="004A26AE">
      <w:pPr>
        <w:pStyle w:val="FootnoteText"/>
        <w:rPr>
          <w:lang w:val="en-US"/>
        </w:rPr>
      </w:pPr>
      <w:r w:rsidRPr="00AC30C4">
        <w:rPr>
          <w:rStyle w:val="FootnoteReference"/>
        </w:rPr>
        <w:footnoteRef/>
      </w:r>
      <w:r w:rsidRPr="00AC30C4">
        <w:rPr>
          <w:lang w:val="en-US"/>
        </w:rPr>
        <w:t xml:space="preserve"> 2010 Tax Code, Article 63.</w:t>
      </w:r>
    </w:p>
  </w:footnote>
  <w:footnote w:id="12">
    <w:p w:rsidR="00D07B8E" w:rsidRPr="00AC30C4" w:rsidRDefault="00D07B8E" w:rsidP="008C4C45">
      <w:pPr>
        <w:pStyle w:val="FootnoteText"/>
        <w:rPr>
          <w:lang w:val="en-US"/>
        </w:rPr>
      </w:pPr>
      <w:r w:rsidRPr="00AC30C4">
        <w:rPr>
          <w:rStyle w:val="FootnoteReference"/>
        </w:rPr>
        <w:footnoteRef/>
      </w:r>
      <w:r w:rsidRPr="00AC30C4">
        <w:t xml:space="preserve"> </w:t>
      </w:r>
      <w:r w:rsidRPr="00AC30C4">
        <w:rPr>
          <w:lang w:val="en-US"/>
        </w:rPr>
        <w:t>Tax Code, Article 117.</w:t>
      </w:r>
    </w:p>
  </w:footnote>
  <w:footnote w:id="13">
    <w:p w:rsidR="00D07B8E" w:rsidRPr="00AC30C4" w:rsidRDefault="00D07B8E" w:rsidP="00960D56">
      <w:pPr>
        <w:pStyle w:val="FootnoteText"/>
        <w:rPr>
          <w:lang w:val="en-US"/>
        </w:rPr>
      </w:pPr>
      <w:r w:rsidRPr="00AC30C4">
        <w:rPr>
          <w:rStyle w:val="FootnoteReference"/>
        </w:rPr>
        <w:footnoteRef/>
      </w:r>
      <w:r w:rsidRPr="00AC30C4">
        <w:t xml:space="preserve"> </w:t>
      </w:r>
      <w:r w:rsidRPr="00AC30C4">
        <w:rPr>
          <w:lang w:val="en-US"/>
        </w:rPr>
        <w:t xml:space="preserve">East West Management Institute, 31 March 2011. </w:t>
      </w:r>
      <w:r w:rsidRPr="00AC30C4">
        <w:rPr>
          <w:i/>
          <w:lang w:val="en-US"/>
        </w:rPr>
        <w:t>Assessing the Sustainability of Georgian NGOs.</w:t>
      </w:r>
      <w:r w:rsidRPr="00AC30C4">
        <w:rPr>
          <w:lang w:val="en-US"/>
        </w:rPr>
        <w:t xml:space="preserve"> Accessed 8 April 2011, </w:t>
      </w:r>
      <w:hyperlink r:id="rId3" w:history="1">
        <w:r w:rsidRPr="00AC30C4">
          <w:rPr>
            <w:rStyle w:val="Hyperlink"/>
          </w:rPr>
          <w:t>http://www.ewmi-gpac.org/en/news/1-news/150-2011-04-07-13-24-38</w:t>
        </w:r>
      </w:hyperlink>
      <w:r w:rsidRPr="00AC30C4">
        <w:rPr>
          <w:lang w:val="en-US"/>
        </w:rPr>
        <w:t>.</w:t>
      </w:r>
    </w:p>
  </w:footnote>
  <w:footnote w:id="14">
    <w:p w:rsidR="00AC30C4" w:rsidRPr="00AC30C4" w:rsidRDefault="00AC30C4">
      <w:pPr>
        <w:pStyle w:val="FootnoteText"/>
        <w:rPr>
          <w:lang w:val="en-US"/>
        </w:rPr>
      </w:pPr>
      <w:r>
        <w:rPr>
          <w:rStyle w:val="FootnoteReference"/>
        </w:rPr>
        <w:footnoteRef/>
      </w:r>
      <w:r>
        <w:t xml:space="preserve"> </w:t>
      </w:r>
      <w:r>
        <w:rPr>
          <w:lang w:val="en-US"/>
        </w:rPr>
        <w:t>CIVICUS 2010</w:t>
      </w:r>
    </w:p>
  </w:footnote>
  <w:footnote w:id="15">
    <w:p w:rsidR="00D07B8E" w:rsidRPr="00AC30C4" w:rsidRDefault="00D07B8E">
      <w:pPr>
        <w:pStyle w:val="FootnoteText"/>
      </w:pPr>
      <w:r w:rsidRPr="00AC30C4">
        <w:rPr>
          <w:rStyle w:val="FootnoteReference"/>
        </w:rPr>
        <w:footnoteRef/>
      </w:r>
      <w:r w:rsidRPr="00AC30C4">
        <w:t xml:space="preserve"> </w:t>
      </w:r>
      <w:r w:rsidRPr="00AC30C4">
        <w:rPr>
          <w:lang w:val="en-US"/>
        </w:rPr>
        <w:t xml:space="preserve">Center for Strategic Research and Development, </w:t>
      </w:r>
      <w:r w:rsidRPr="00AC30C4">
        <w:rPr>
          <w:i/>
          <w:lang w:val="en-US"/>
        </w:rPr>
        <w:t xml:space="preserve">Civil Society Organizations in Georgia – Dynamics and Trends of Development – 2010 </w:t>
      </w:r>
      <w:r w:rsidRPr="00AC30C4">
        <w:rPr>
          <w:lang w:val="en-US"/>
        </w:rPr>
        <w:t>[in Georgian with English summary]</w:t>
      </w:r>
      <w:r w:rsidRPr="00AC30C4">
        <w:rPr>
          <w:i/>
          <w:lang w:val="en-US"/>
        </w:rPr>
        <w:t xml:space="preserve">, </w:t>
      </w:r>
      <w:r w:rsidRPr="00AC30C4">
        <w:rPr>
          <w:lang w:val="en-US"/>
        </w:rPr>
        <w:t>14.</w:t>
      </w:r>
    </w:p>
  </w:footnote>
  <w:footnote w:id="16">
    <w:p w:rsidR="00D07B8E" w:rsidRPr="00AC30C4" w:rsidRDefault="00D07B8E" w:rsidP="006579D2">
      <w:pPr>
        <w:pStyle w:val="FootnoteText"/>
        <w:rPr>
          <w:lang w:val="en-US"/>
        </w:rPr>
      </w:pPr>
      <w:r w:rsidRPr="00AC30C4">
        <w:rPr>
          <w:rStyle w:val="FootnoteReference"/>
        </w:rPr>
        <w:footnoteRef/>
      </w:r>
      <w:r w:rsidRPr="00AC30C4">
        <w:t xml:space="preserve"> </w:t>
      </w:r>
      <w:r w:rsidRPr="00AC30C4">
        <w:rPr>
          <w:lang w:val="en-US"/>
        </w:rPr>
        <w:t xml:space="preserve">Center for Strategic Research and Development, </w:t>
      </w:r>
      <w:r w:rsidRPr="00AC30C4">
        <w:rPr>
          <w:i/>
          <w:lang w:val="en-US"/>
        </w:rPr>
        <w:t xml:space="preserve">Civil Society Organizations in Georgia – Dynamics and Trends of Development – 2010 </w:t>
      </w:r>
      <w:r w:rsidRPr="00AC30C4">
        <w:rPr>
          <w:lang w:val="en-US"/>
        </w:rPr>
        <w:t>[in Georgian with English summary]</w:t>
      </w:r>
      <w:r w:rsidRPr="00AC30C4">
        <w:rPr>
          <w:i/>
          <w:lang w:val="en-US"/>
        </w:rPr>
        <w:t xml:space="preserve">, </w:t>
      </w:r>
      <w:r w:rsidRPr="00AC30C4">
        <w:rPr>
          <w:lang w:val="en-US"/>
        </w:rPr>
        <w:t>8.</w:t>
      </w:r>
    </w:p>
  </w:footnote>
  <w:footnote w:id="17">
    <w:p w:rsidR="00AC30C4" w:rsidRPr="00AC30C4" w:rsidRDefault="00AC30C4">
      <w:pPr>
        <w:pStyle w:val="FootnoteText"/>
        <w:rPr>
          <w:lang w:val="en-US"/>
        </w:rPr>
      </w:pPr>
      <w:r>
        <w:rPr>
          <w:rStyle w:val="FootnoteReference"/>
        </w:rPr>
        <w:footnoteRef/>
      </w:r>
      <w:r>
        <w:t xml:space="preserve"> </w:t>
      </w:r>
      <w:r>
        <w:rPr>
          <w:lang w:val="en-US"/>
        </w:rPr>
        <w:t>CIVICUS 2010,  p 30</w:t>
      </w:r>
    </w:p>
  </w:footnote>
  <w:footnote w:id="18">
    <w:p w:rsidR="00D07B8E" w:rsidRPr="00AC30C4" w:rsidRDefault="00D07B8E" w:rsidP="006579D2">
      <w:pPr>
        <w:pStyle w:val="FootnoteText"/>
        <w:rPr>
          <w:lang w:val="en-US"/>
        </w:rPr>
      </w:pPr>
      <w:r w:rsidRPr="00AC30C4">
        <w:rPr>
          <w:rStyle w:val="FootnoteReference"/>
        </w:rPr>
        <w:footnoteRef/>
      </w:r>
      <w:r w:rsidRPr="00AC30C4">
        <w:rPr>
          <w:lang w:val="en-US"/>
        </w:rPr>
        <w:t xml:space="preserve"> USAID, </w:t>
      </w:r>
      <w:r w:rsidRPr="00AC30C4">
        <w:rPr>
          <w:i/>
          <w:lang w:val="en-US"/>
        </w:rPr>
        <w:t xml:space="preserve">2008 NGO Sustainability Index for Central and Eastern Europe and Eurasia, </w:t>
      </w:r>
      <w:r w:rsidRPr="00AC30C4">
        <w:rPr>
          <w:lang w:val="en-US"/>
        </w:rPr>
        <w:t>110.</w:t>
      </w:r>
    </w:p>
  </w:footnote>
  <w:footnote w:id="19">
    <w:p w:rsidR="00D07B8E" w:rsidRPr="00AC30C4" w:rsidRDefault="00D07B8E" w:rsidP="00D07B8E">
      <w:pPr>
        <w:pStyle w:val="FootnoteText"/>
        <w:rPr>
          <w:lang w:val="en-US"/>
        </w:rPr>
      </w:pPr>
      <w:r w:rsidRPr="00AC30C4">
        <w:rPr>
          <w:rStyle w:val="FootnoteReference"/>
        </w:rPr>
        <w:footnoteRef/>
      </w:r>
      <w:r w:rsidRPr="00AC30C4">
        <w:rPr>
          <w:lang w:val="en-US"/>
        </w:rPr>
        <w:t xml:space="preserve"> Civil Society Institute, </w:t>
      </w:r>
      <w:r w:rsidRPr="00AC30C4">
        <w:rPr>
          <w:i/>
          <w:lang w:val="en-US"/>
        </w:rPr>
        <w:t>Georgian Not for Profit Legislation: Challenges and Perspectives</w:t>
      </w:r>
      <w:r w:rsidR="00000CE5" w:rsidRPr="00AC30C4">
        <w:rPr>
          <w:i/>
          <w:lang w:val="en-US"/>
        </w:rPr>
        <w:t xml:space="preserve"> </w:t>
      </w:r>
      <w:r w:rsidR="00000CE5" w:rsidRPr="00AC30C4">
        <w:rPr>
          <w:lang w:val="en-US"/>
        </w:rPr>
        <w:t>(2007)</w:t>
      </w:r>
      <w:r w:rsidRPr="00AC30C4">
        <w:rPr>
          <w:i/>
          <w:lang w:val="en-US"/>
        </w:rPr>
        <w:t>,</w:t>
      </w:r>
      <w:r w:rsidRPr="00AC30C4">
        <w:rPr>
          <w:lang w:val="en-US"/>
        </w:rPr>
        <w:t>13.</w:t>
      </w:r>
    </w:p>
  </w:footnote>
  <w:footnote w:id="20">
    <w:p w:rsidR="00D07B8E" w:rsidRPr="00AC30C4" w:rsidRDefault="00D07B8E" w:rsidP="00263832">
      <w:pPr>
        <w:pStyle w:val="FootnoteText"/>
      </w:pPr>
      <w:r w:rsidRPr="00AC30C4">
        <w:rPr>
          <w:rStyle w:val="FootnoteReference"/>
        </w:rPr>
        <w:footnoteRef/>
      </w:r>
      <w:r w:rsidRPr="00AC30C4">
        <w:t xml:space="preserve"> </w:t>
      </w:r>
      <w:r w:rsidRPr="00AC30C4">
        <w:rPr>
          <w:lang w:val="en-US"/>
        </w:rPr>
        <w:t xml:space="preserve">Center for Strategic Research and Development, </w:t>
      </w:r>
      <w:r w:rsidRPr="00AC30C4">
        <w:rPr>
          <w:i/>
          <w:lang w:val="en-US"/>
        </w:rPr>
        <w:t xml:space="preserve">Civil Society Organizations in Georgia – Dynamics and Trends of Development – 2010 </w:t>
      </w:r>
      <w:r w:rsidRPr="00AC30C4">
        <w:rPr>
          <w:lang w:val="en-US"/>
        </w:rPr>
        <w:t>[in Georgian with English summary]</w:t>
      </w:r>
      <w:r w:rsidRPr="00AC30C4">
        <w:rPr>
          <w:i/>
          <w:lang w:val="en-US"/>
        </w:rPr>
        <w:t xml:space="preserve">, </w:t>
      </w:r>
      <w:r w:rsidRPr="00AC30C4">
        <w:rPr>
          <w:lang w:val="en-US"/>
        </w:rPr>
        <w:t>14.</w:t>
      </w:r>
    </w:p>
  </w:footnote>
  <w:footnote w:id="21">
    <w:p w:rsidR="00D07B8E" w:rsidRPr="00AC30C4" w:rsidRDefault="00D07B8E" w:rsidP="00263832">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31.</w:t>
      </w:r>
    </w:p>
  </w:footnote>
  <w:footnote w:id="22">
    <w:p w:rsidR="00D07B8E" w:rsidRPr="00AC30C4" w:rsidRDefault="00D07B8E" w:rsidP="00546730">
      <w:pPr>
        <w:pStyle w:val="FootnoteText"/>
      </w:pPr>
      <w:r w:rsidRPr="00AC30C4">
        <w:rPr>
          <w:rStyle w:val="FootnoteReference"/>
        </w:rPr>
        <w:footnoteRef/>
      </w:r>
      <w:r w:rsidRPr="00AC30C4">
        <w:t xml:space="preserve"> </w:t>
      </w:r>
      <w:r w:rsidRPr="00AC30C4">
        <w:rPr>
          <w:lang w:val="en-US"/>
        </w:rPr>
        <w:t xml:space="preserve">Center for Strategic Research and Development, </w:t>
      </w:r>
      <w:r w:rsidRPr="00AC30C4">
        <w:rPr>
          <w:i/>
          <w:lang w:val="en-US"/>
        </w:rPr>
        <w:t xml:space="preserve">Civil Society Organizations in Georgia – Dynamics and Trends of Development – 2010 </w:t>
      </w:r>
      <w:r w:rsidRPr="00AC30C4">
        <w:rPr>
          <w:lang w:val="en-US"/>
        </w:rPr>
        <w:t>[in Georgian with English summary]</w:t>
      </w:r>
      <w:r w:rsidRPr="00AC30C4">
        <w:rPr>
          <w:i/>
          <w:lang w:val="en-US"/>
        </w:rPr>
        <w:t xml:space="preserve">, </w:t>
      </w:r>
      <w:r w:rsidRPr="00AC30C4">
        <w:rPr>
          <w:lang w:val="en-US"/>
        </w:rPr>
        <w:t>14.</w:t>
      </w:r>
    </w:p>
  </w:footnote>
  <w:footnote w:id="23">
    <w:p w:rsidR="00A44874" w:rsidRPr="00AC30C4" w:rsidRDefault="00A44874" w:rsidP="00A44874">
      <w:pPr>
        <w:pStyle w:val="FootnoteText"/>
        <w:rPr>
          <w:lang w:val="en-US"/>
        </w:rPr>
      </w:pPr>
      <w:r w:rsidRPr="00AC30C4">
        <w:rPr>
          <w:rStyle w:val="FootnoteReference"/>
        </w:rPr>
        <w:footnoteRef/>
      </w:r>
      <w:r w:rsidRPr="00AC30C4">
        <w:t xml:space="preserve"> </w:t>
      </w:r>
      <w:r w:rsidRPr="00AC30C4">
        <w:rPr>
          <w:lang w:val="en-US"/>
        </w:rPr>
        <w:t xml:space="preserve">Centre for Training and Consultancy, </w:t>
      </w:r>
      <w:r w:rsidRPr="00AC30C4">
        <w:rPr>
          <w:i/>
          <w:lang w:val="en-US"/>
        </w:rPr>
        <w:t>An Assessment of Georgian Civil Society (2010),</w:t>
      </w:r>
      <w:r w:rsidRPr="00AC30C4">
        <w:rPr>
          <w:lang w:val="en-US"/>
        </w:rPr>
        <w:t xml:space="preserve"> CIVICUS Civil Society Index Shortened Assessment Tool Report for Georgia, 31.</w:t>
      </w:r>
    </w:p>
  </w:footnote>
  <w:footnote w:id="24">
    <w:p w:rsidR="00537B9F" w:rsidRPr="00AC30C4" w:rsidRDefault="00537B9F" w:rsidP="00537B9F">
      <w:pPr>
        <w:pStyle w:val="FootnoteText"/>
        <w:rPr>
          <w:lang w:val="en-US"/>
        </w:rPr>
      </w:pPr>
      <w:r w:rsidRPr="00AC30C4">
        <w:rPr>
          <w:rStyle w:val="FootnoteReference"/>
        </w:rPr>
        <w:footnoteRef/>
      </w:r>
      <w:r w:rsidRPr="00AC30C4">
        <w:t xml:space="preserve"> </w:t>
      </w:r>
      <w:r w:rsidRPr="00AC30C4">
        <w:rPr>
          <w:lang w:val="en-US"/>
        </w:rPr>
        <w:t xml:space="preserve">Center for Strategic Research and Development, </w:t>
      </w:r>
      <w:r w:rsidRPr="00AC30C4">
        <w:rPr>
          <w:i/>
          <w:lang w:val="en-US"/>
        </w:rPr>
        <w:t xml:space="preserve">Civil Society Organizations in Georgia – Dynamics and Trends of Development – 2010 </w:t>
      </w:r>
      <w:r w:rsidRPr="00AC30C4">
        <w:rPr>
          <w:lang w:val="en-US"/>
        </w:rPr>
        <w:t>[in Georgian with English summary]</w:t>
      </w:r>
      <w:r w:rsidRPr="00AC30C4">
        <w:rPr>
          <w:i/>
          <w:lang w:val="en-US"/>
        </w:rPr>
        <w:t xml:space="preserve">, </w:t>
      </w:r>
      <w:r w:rsidRPr="00AC30C4">
        <w:rPr>
          <w:lang w:val="en-US"/>
        </w:rPr>
        <w:t>15.</w:t>
      </w:r>
    </w:p>
  </w:footnote>
  <w:footnote w:id="25">
    <w:p w:rsidR="00537B9F" w:rsidRPr="00AC30C4" w:rsidRDefault="00537B9F" w:rsidP="00537B9F">
      <w:pPr>
        <w:pStyle w:val="FootnoteText"/>
        <w:rPr>
          <w:lang w:val="en-US"/>
        </w:rPr>
      </w:pPr>
      <w:r w:rsidRPr="00AC30C4">
        <w:rPr>
          <w:rStyle w:val="FootnoteReference"/>
        </w:rPr>
        <w:footnoteRef/>
      </w:r>
      <w:r w:rsidRPr="00AC30C4">
        <w:rPr>
          <w:lang w:val="en-US"/>
        </w:rPr>
        <w:t xml:space="preserve"> USAID, </w:t>
      </w:r>
      <w:r w:rsidRPr="00AC30C4">
        <w:rPr>
          <w:i/>
          <w:lang w:val="en-US"/>
        </w:rPr>
        <w:t>2008 NGO Sustainability Index for Central and Eastern Europe and Eurasia,</w:t>
      </w:r>
      <w:r w:rsidRPr="00AC30C4">
        <w:rPr>
          <w:lang w:val="en-US"/>
        </w:rPr>
        <w:t>110.</w:t>
      </w:r>
    </w:p>
  </w:footnote>
  <w:footnote w:id="26">
    <w:p w:rsidR="00537B9F" w:rsidRPr="00AC30C4" w:rsidRDefault="00537B9F" w:rsidP="00537B9F">
      <w:pPr>
        <w:pStyle w:val="FootnoteText"/>
        <w:rPr>
          <w:lang w:val="en-US"/>
        </w:rPr>
      </w:pPr>
      <w:r w:rsidRPr="00AC30C4">
        <w:rPr>
          <w:rStyle w:val="FootnoteReference"/>
        </w:rPr>
        <w:footnoteRef/>
      </w:r>
      <w:r w:rsidRPr="00AC30C4">
        <w:rPr>
          <w:lang w:val="en-US"/>
        </w:rPr>
        <w:t xml:space="preserve"> Civil Society Institute, </w:t>
      </w:r>
      <w:r w:rsidRPr="00AC30C4">
        <w:rPr>
          <w:i/>
          <w:lang w:val="en-US"/>
        </w:rPr>
        <w:t xml:space="preserve">Georgian Not for Profit Legislation: Challenges and Perspectives, </w:t>
      </w:r>
      <w:r w:rsidRPr="00AC30C4">
        <w:rPr>
          <w:lang w:val="en-US"/>
        </w:rPr>
        <w:t>25.</w:t>
      </w:r>
    </w:p>
  </w:footnote>
  <w:footnote w:id="27">
    <w:p w:rsidR="00D07B8E" w:rsidRPr="00AC30C4" w:rsidRDefault="00D07B8E">
      <w:pPr>
        <w:pStyle w:val="FootnoteText"/>
        <w:rPr>
          <w:lang w:val="en-US"/>
        </w:rPr>
      </w:pPr>
      <w:r w:rsidRPr="00AC30C4">
        <w:rPr>
          <w:rStyle w:val="FootnoteReference"/>
        </w:rPr>
        <w:footnoteRef/>
      </w:r>
      <w:r w:rsidRPr="00AC30C4">
        <w:rPr>
          <w:lang w:val="en-US"/>
        </w:rPr>
        <w:t xml:space="preserve"> FRIDE, </w:t>
      </w:r>
      <w:r w:rsidRPr="00AC30C4">
        <w:rPr>
          <w:i/>
          <w:lang w:val="en-US"/>
        </w:rPr>
        <w:t>Assessing Democracy Assistance: Georgia</w:t>
      </w:r>
      <w:r w:rsidRPr="00AC30C4">
        <w:rPr>
          <w:lang w:val="en-US"/>
        </w:rPr>
        <w:t xml:space="preserve"> (2010), 2, http://www.fride.org/publication/779/georgia.</w:t>
      </w:r>
    </w:p>
  </w:footnote>
  <w:footnote w:id="28">
    <w:p w:rsidR="002C4197" w:rsidRPr="00AC30C4" w:rsidRDefault="002C4197">
      <w:pPr>
        <w:pStyle w:val="FootnoteText"/>
        <w:rPr>
          <w:lang w:val="en-US"/>
        </w:rPr>
      </w:pPr>
      <w:r w:rsidRPr="00AC30C4">
        <w:rPr>
          <w:rStyle w:val="FootnoteReference"/>
        </w:rPr>
        <w:footnoteRef/>
      </w:r>
      <w:r w:rsidRPr="00AC30C4">
        <w:t xml:space="preserve"> </w:t>
      </w:r>
      <w:r w:rsidRPr="00AC30C4">
        <w:rPr>
          <w:lang w:val="en-US"/>
        </w:rPr>
        <w:t xml:space="preserve">Centre for Training and Consultancy, </w:t>
      </w:r>
      <w:r w:rsidRPr="00AC30C4">
        <w:rPr>
          <w:i/>
          <w:lang w:val="en-US"/>
        </w:rPr>
        <w:t>An Assessment of Georgian Civil Society (2010),</w:t>
      </w:r>
      <w:r w:rsidRPr="00AC30C4">
        <w:rPr>
          <w:lang w:val="en-US"/>
        </w:rPr>
        <w:t xml:space="preserve"> CIVICUS Civil Society Index Shortened Assessment Tool Report for Georgia, 30 (footnote).</w:t>
      </w:r>
    </w:p>
  </w:footnote>
  <w:footnote w:id="29">
    <w:p w:rsidR="00D07B8E" w:rsidRPr="00AC30C4" w:rsidRDefault="00D07B8E" w:rsidP="005103A7">
      <w:pPr>
        <w:pStyle w:val="FootnoteText"/>
        <w:rPr>
          <w:lang w:val="en-US"/>
        </w:rPr>
      </w:pPr>
      <w:r w:rsidRPr="00AC30C4">
        <w:rPr>
          <w:rStyle w:val="FootnoteReference"/>
        </w:rPr>
        <w:footnoteRef/>
      </w:r>
      <w:r w:rsidRPr="00AC30C4">
        <w:rPr>
          <w:lang w:val="en-US"/>
        </w:rPr>
        <w:t xml:space="preserve"> USAID, </w:t>
      </w:r>
      <w:r w:rsidRPr="00AC30C4">
        <w:rPr>
          <w:i/>
          <w:lang w:val="en-US"/>
        </w:rPr>
        <w:t>2008 NGO Sustainability Index for Central and Eastern Europe and Eurasia,</w:t>
      </w:r>
      <w:r w:rsidRPr="00AC30C4">
        <w:rPr>
          <w:lang w:val="en-US"/>
        </w:rPr>
        <w:t>109.</w:t>
      </w:r>
    </w:p>
  </w:footnote>
  <w:footnote w:id="30">
    <w:p w:rsidR="00DA7ED2" w:rsidRPr="00AC30C4" w:rsidRDefault="00DA7ED2">
      <w:pPr>
        <w:pStyle w:val="FootnoteText"/>
        <w:rPr>
          <w:lang w:val="en-US"/>
        </w:rPr>
      </w:pPr>
      <w:r w:rsidRPr="00AC30C4">
        <w:rPr>
          <w:rStyle w:val="FootnoteReference"/>
        </w:rPr>
        <w:footnoteRef/>
      </w:r>
      <w:r w:rsidRPr="00AC30C4">
        <w:t xml:space="preserve"> </w:t>
      </w:r>
      <w:r w:rsidRPr="00AC30C4">
        <w:rPr>
          <w:lang w:val="en-US"/>
        </w:rPr>
        <w:t xml:space="preserve">Center for Strategic Research and Development, </w:t>
      </w:r>
      <w:r w:rsidRPr="00AC30C4">
        <w:rPr>
          <w:i/>
          <w:lang w:val="en-US"/>
        </w:rPr>
        <w:t xml:space="preserve">Civil Society Organizations in Georgia – Dynamics and Trends of Development – 2010 </w:t>
      </w:r>
      <w:r w:rsidRPr="00AC30C4">
        <w:rPr>
          <w:lang w:val="en-US"/>
        </w:rPr>
        <w:t>[in Georgian with English summary]</w:t>
      </w:r>
      <w:r w:rsidRPr="00AC30C4">
        <w:rPr>
          <w:i/>
          <w:lang w:val="en-US"/>
        </w:rPr>
        <w:t xml:space="preserve">, </w:t>
      </w:r>
      <w:r w:rsidRPr="00AC30C4">
        <w:rPr>
          <w:lang w:val="en-US"/>
        </w:rPr>
        <w:t>13.</w:t>
      </w:r>
    </w:p>
  </w:footnote>
  <w:footnote w:id="31">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lang w:val="en-GB"/>
        </w:rPr>
        <w:t xml:space="preserve">Freedom House, </w:t>
      </w:r>
      <w:r w:rsidRPr="00AC30C4">
        <w:rPr>
          <w:i/>
          <w:lang w:val="en-GB"/>
        </w:rPr>
        <w:t>Nations in Transit: Georgia (2008).</w:t>
      </w:r>
    </w:p>
  </w:footnote>
  <w:footnote w:id="32">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lang w:val="en-GB"/>
        </w:rPr>
        <w:t xml:space="preserve">Freedom House, </w:t>
      </w:r>
      <w:r w:rsidRPr="00AC30C4">
        <w:rPr>
          <w:i/>
          <w:lang w:val="en-GB"/>
        </w:rPr>
        <w:t>Nations in Transit: Georgia (2008).</w:t>
      </w:r>
    </w:p>
  </w:footnote>
  <w:footnote w:id="33">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26.</w:t>
      </w:r>
    </w:p>
  </w:footnote>
  <w:footnote w:id="34">
    <w:p w:rsidR="008B2D61" w:rsidRPr="00AC30C4" w:rsidRDefault="008B2D61">
      <w:pPr>
        <w:pStyle w:val="FootnoteText"/>
        <w:rPr>
          <w:lang w:val="en-US"/>
        </w:rPr>
      </w:pPr>
      <w:r w:rsidRPr="00AC30C4">
        <w:rPr>
          <w:rStyle w:val="FootnoteReference"/>
        </w:rPr>
        <w:footnoteRef/>
      </w:r>
      <w:r w:rsidRPr="00AC30C4">
        <w:t xml:space="preserve"> </w:t>
      </w:r>
      <w:r w:rsidRPr="00AC30C4">
        <w:rPr>
          <w:lang w:val="en-US"/>
        </w:rPr>
        <w:t xml:space="preserve">Centre for Training and Consultancy, </w:t>
      </w:r>
      <w:r w:rsidRPr="00AC30C4">
        <w:rPr>
          <w:i/>
          <w:lang w:val="en-US"/>
        </w:rPr>
        <w:t>An Assessment of Georgian Civil Society (2010),</w:t>
      </w:r>
      <w:r w:rsidRPr="00AC30C4">
        <w:rPr>
          <w:lang w:val="en-US"/>
        </w:rPr>
        <w:t xml:space="preserve"> CIVICUS Civil Society Index Shortened Assessment Tool Report for Georgia, 29.</w:t>
      </w:r>
    </w:p>
  </w:footnote>
  <w:footnote w:id="35">
    <w:p w:rsidR="00D07B8E" w:rsidRPr="00AC30C4" w:rsidRDefault="00D07B8E">
      <w:pPr>
        <w:pStyle w:val="FootnoteText"/>
        <w:rPr>
          <w:lang w:val="en-US"/>
        </w:rPr>
      </w:pPr>
      <w:r w:rsidRPr="00AC30C4">
        <w:rPr>
          <w:rStyle w:val="FootnoteReference"/>
        </w:rPr>
        <w:footnoteRef/>
      </w:r>
      <w:r w:rsidRPr="00AC30C4">
        <w:rPr>
          <w:lang w:val="en-US"/>
        </w:rPr>
        <w:t xml:space="preserve"> USAID, </w:t>
      </w:r>
      <w:r w:rsidRPr="00AC30C4">
        <w:rPr>
          <w:i/>
          <w:lang w:val="en-US"/>
        </w:rPr>
        <w:t>2008 NGO Sustainability Index for Central and Eastern Europe and Eurasia</w:t>
      </w:r>
      <w:r w:rsidRPr="00AC30C4">
        <w:rPr>
          <w:lang w:val="en-US"/>
        </w:rPr>
        <w:t>, 108.</w:t>
      </w:r>
    </w:p>
  </w:footnote>
  <w:footnote w:id="36">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44.</w:t>
      </w:r>
    </w:p>
  </w:footnote>
  <w:footnote w:id="37">
    <w:p w:rsidR="00D07B8E" w:rsidRPr="00AC30C4" w:rsidRDefault="00D07B8E">
      <w:pPr>
        <w:pStyle w:val="FootnoteText"/>
        <w:rPr>
          <w:lang w:val="en-GB"/>
        </w:rPr>
      </w:pPr>
      <w:r w:rsidRPr="00AC30C4">
        <w:rPr>
          <w:rStyle w:val="FootnoteReference"/>
        </w:rPr>
        <w:footnoteRef/>
      </w:r>
      <w:r w:rsidRPr="00AC30C4">
        <w:rPr>
          <w:lang w:val="en-GB"/>
        </w:rPr>
        <w:t xml:space="preserve"> Article 26, Constitution of Georgia.</w:t>
      </w:r>
    </w:p>
  </w:footnote>
  <w:footnote w:id="38">
    <w:p w:rsidR="00D07B8E" w:rsidRPr="00AC30C4" w:rsidRDefault="00D07B8E">
      <w:pPr>
        <w:pStyle w:val="FootnoteText"/>
        <w:rPr>
          <w:lang w:val="en-GB"/>
        </w:rPr>
      </w:pPr>
      <w:r w:rsidRPr="00AC30C4">
        <w:rPr>
          <w:rStyle w:val="FootnoteReference"/>
        </w:rPr>
        <w:footnoteRef/>
      </w:r>
      <w:r w:rsidRPr="00AC30C4">
        <w:rPr>
          <w:lang w:val="en-GB"/>
        </w:rPr>
        <w:t xml:space="preserve"> Georgian Civil Code</w:t>
      </w:r>
      <w:r w:rsidRPr="00AC30C4">
        <w:rPr>
          <w:lang w:val="en-US"/>
        </w:rPr>
        <w:t>,</w:t>
      </w:r>
      <w:r w:rsidRPr="00AC30C4">
        <w:rPr>
          <w:lang w:val="en-GB"/>
        </w:rPr>
        <w:t xml:space="preserve"> Article 32.</w:t>
      </w:r>
    </w:p>
  </w:footnote>
  <w:footnote w:id="39">
    <w:p w:rsidR="00D07B8E" w:rsidRPr="00AC30C4" w:rsidRDefault="00D07B8E">
      <w:pPr>
        <w:pStyle w:val="FootnoteText"/>
        <w:rPr>
          <w:lang w:val="en-GB"/>
        </w:rPr>
      </w:pPr>
      <w:r w:rsidRPr="00AC30C4">
        <w:rPr>
          <w:rStyle w:val="FootnoteReference"/>
        </w:rPr>
        <w:footnoteRef/>
      </w:r>
      <w:r w:rsidRPr="00AC30C4">
        <w:rPr>
          <w:lang w:val="en-GB"/>
        </w:rPr>
        <w:t xml:space="preserve"> Ibid, Article 33.</w:t>
      </w:r>
    </w:p>
  </w:footnote>
  <w:footnote w:id="40">
    <w:p w:rsidR="00D07B8E" w:rsidRPr="00AC30C4" w:rsidRDefault="00D07B8E">
      <w:pPr>
        <w:pStyle w:val="FootnoteText"/>
        <w:rPr>
          <w:lang w:val="en-US"/>
        </w:rPr>
      </w:pPr>
      <w:r w:rsidRPr="00AC30C4">
        <w:rPr>
          <w:rStyle w:val="FootnoteReference"/>
        </w:rPr>
        <w:footnoteRef/>
      </w:r>
      <w:r w:rsidRPr="00AC30C4">
        <w:rPr>
          <w:lang w:val="en-US"/>
        </w:rPr>
        <w:t xml:space="preserve"> USAID, </w:t>
      </w:r>
      <w:r w:rsidRPr="00AC30C4">
        <w:rPr>
          <w:i/>
          <w:lang w:val="en-US"/>
        </w:rPr>
        <w:t xml:space="preserve">2007 NGO Sustainability Index for Central and Eastern Europe and Eurasia, </w:t>
      </w:r>
      <w:r w:rsidRPr="00AC30C4">
        <w:rPr>
          <w:lang w:val="en-US"/>
        </w:rPr>
        <w:t>11</w:t>
      </w:r>
      <w:r w:rsidRPr="00AC30C4">
        <w:rPr>
          <w:vertAlign w:val="superscript"/>
          <w:lang w:val="en-US"/>
        </w:rPr>
        <w:t>th</w:t>
      </w:r>
      <w:r w:rsidRPr="00AC30C4">
        <w:rPr>
          <w:lang w:val="en-US"/>
        </w:rPr>
        <w:t xml:space="preserve"> Edition – June 2008 (Washington: U.S. Agency for International Development, Bureau for Europe and Eurasia, Office of Democracy, Governance and Social Transition, 2008), 107.</w:t>
      </w:r>
    </w:p>
  </w:footnote>
  <w:footnote w:id="41">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43.</w:t>
      </w:r>
    </w:p>
  </w:footnote>
  <w:footnote w:id="42">
    <w:p w:rsidR="00D07B8E" w:rsidRPr="00AC30C4" w:rsidRDefault="00D07B8E">
      <w:pPr>
        <w:pStyle w:val="FootnoteText"/>
        <w:rPr>
          <w:lang w:val="en-US"/>
        </w:rPr>
      </w:pPr>
      <w:r w:rsidRPr="00AC30C4">
        <w:rPr>
          <w:rStyle w:val="FootnoteReference"/>
        </w:rPr>
        <w:footnoteRef/>
      </w:r>
      <w:r w:rsidRPr="00AC30C4">
        <w:rPr>
          <w:lang w:val="en-US"/>
        </w:rPr>
        <w:t xml:space="preserve"> Ibid, 44.</w:t>
      </w:r>
    </w:p>
  </w:footnote>
  <w:footnote w:id="43">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lang w:val="en-GB"/>
        </w:rPr>
        <w:t xml:space="preserve">Freedom House, </w:t>
      </w:r>
      <w:r w:rsidRPr="00AC30C4">
        <w:rPr>
          <w:i/>
          <w:lang w:val="en-GB"/>
        </w:rPr>
        <w:t>Nations in Transit: Georgia (2008).</w:t>
      </w:r>
    </w:p>
  </w:footnote>
  <w:footnote w:id="44">
    <w:p w:rsidR="00D07B8E" w:rsidRPr="00AC30C4" w:rsidRDefault="00D07B8E" w:rsidP="005103A7">
      <w:pPr>
        <w:rPr>
          <w:sz w:val="20"/>
          <w:szCs w:val="20"/>
          <w:lang w:val="en-GB"/>
        </w:rPr>
      </w:pPr>
      <w:r w:rsidRPr="00AC30C4">
        <w:rPr>
          <w:rStyle w:val="FootnoteReference"/>
          <w:sz w:val="20"/>
          <w:szCs w:val="20"/>
        </w:rPr>
        <w:footnoteRef/>
      </w:r>
      <w:r w:rsidRPr="00AC30C4">
        <w:rPr>
          <w:sz w:val="20"/>
          <w:szCs w:val="20"/>
          <w:lang w:val="en-US"/>
        </w:rPr>
        <w:t xml:space="preserve"> </w:t>
      </w:r>
      <w:r w:rsidRPr="00AC30C4">
        <w:rPr>
          <w:sz w:val="20"/>
          <w:szCs w:val="20"/>
          <w:lang w:val="en-GB"/>
        </w:rPr>
        <w:t xml:space="preserve">Freedom House, </w:t>
      </w:r>
      <w:r w:rsidRPr="00AC30C4">
        <w:rPr>
          <w:i/>
          <w:sz w:val="20"/>
          <w:szCs w:val="20"/>
          <w:lang w:val="en-GB"/>
        </w:rPr>
        <w:t>Nations in Transit</w:t>
      </w:r>
      <w:r w:rsidRPr="00AC30C4">
        <w:rPr>
          <w:sz w:val="20"/>
          <w:szCs w:val="20"/>
          <w:lang w:val="en-GB"/>
        </w:rPr>
        <w:t xml:space="preserve"> 2009 (Freedom House, 2009), 213.</w:t>
      </w:r>
    </w:p>
  </w:footnote>
  <w:footnote w:id="45">
    <w:p w:rsidR="00D07B8E" w:rsidRPr="00AC30C4" w:rsidRDefault="00D07B8E">
      <w:pPr>
        <w:pStyle w:val="FootnoteText"/>
        <w:rPr>
          <w:lang w:val="en-US"/>
        </w:rPr>
      </w:pPr>
      <w:r w:rsidRPr="00AC30C4">
        <w:rPr>
          <w:rStyle w:val="FootnoteReference"/>
        </w:rPr>
        <w:footnoteRef/>
      </w:r>
      <w:r w:rsidRPr="00AC30C4">
        <w:rPr>
          <w:lang w:val="en-US"/>
        </w:rPr>
        <w:t xml:space="preserve"> OSCE/ODIHR </w:t>
      </w:r>
      <w:r w:rsidRPr="00AC30C4">
        <w:rPr>
          <w:i/>
          <w:lang w:val="en-GB"/>
        </w:rPr>
        <w:t>Georgia: Parliamentary Elections 21 May 2008,</w:t>
      </w:r>
      <w:r w:rsidRPr="00AC30C4">
        <w:rPr>
          <w:lang w:val="en-GB"/>
        </w:rPr>
        <w:t xml:space="preserve"> OSCE/ODIHR Election Observation Mission Final Report, (Warsaw: OSCE/ODIHR, 2008), 23.</w:t>
      </w:r>
    </w:p>
  </w:footnote>
  <w:footnote w:id="46">
    <w:p w:rsidR="00BB1FDC" w:rsidRPr="00AC30C4" w:rsidRDefault="00BB1FDC">
      <w:pPr>
        <w:pStyle w:val="FootnoteText"/>
        <w:rPr>
          <w:lang w:val="en-US"/>
        </w:rPr>
      </w:pPr>
      <w:r w:rsidRPr="00AC30C4">
        <w:rPr>
          <w:rStyle w:val="FootnoteReference"/>
        </w:rPr>
        <w:footnoteRef/>
      </w:r>
      <w:r w:rsidRPr="00AC30C4">
        <w:t xml:space="preserve"> </w:t>
      </w:r>
      <w:r w:rsidRPr="00AC30C4">
        <w:rPr>
          <w:lang w:val="en-US"/>
        </w:rPr>
        <w:t>Cite recent US Embassy Human Rights report</w:t>
      </w:r>
    </w:p>
  </w:footnote>
  <w:footnote w:id="47">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51.</w:t>
      </w:r>
    </w:p>
  </w:footnote>
  <w:footnote w:id="48">
    <w:p w:rsidR="00D07B8E" w:rsidRPr="00AC30C4" w:rsidRDefault="00D07B8E">
      <w:pPr>
        <w:pStyle w:val="FootnoteText"/>
        <w:rPr>
          <w:lang w:val="en-US"/>
        </w:rPr>
      </w:pPr>
      <w:r w:rsidRPr="00AC30C4">
        <w:rPr>
          <w:rStyle w:val="FootnoteReference"/>
        </w:rPr>
        <w:footnoteRef/>
      </w:r>
      <w:r w:rsidRPr="00AC30C4">
        <w:rPr>
          <w:lang w:val="en-US"/>
        </w:rPr>
        <w:t xml:space="preserve"> Ibid.</w:t>
      </w:r>
    </w:p>
  </w:footnote>
  <w:footnote w:id="49">
    <w:p w:rsidR="00D07B8E" w:rsidRPr="00AC30C4" w:rsidRDefault="00D07B8E">
      <w:pPr>
        <w:pStyle w:val="FootnoteText"/>
        <w:rPr>
          <w:lang w:val="en-US"/>
        </w:rPr>
      </w:pPr>
      <w:r w:rsidRPr="00AC30C4">
        <w:rPr>
          <w:rStyle w:val="FootnoteReference"/>
        </w:rPr>
        <w:footnoteRef/>
      </w:r>
      <w:r w:rsidRPr="00AC30C4">
        <w:rPr>
          <w:lang w:val="en-US"/>
        </w:rPr>
        <w:t xml:space="preserve"> Civil Society Institute, </w:t>
      </w:r>
      <w:r w:rsidRPr="00AC30C4">
        <w:rPr>
          <w:i/>
          <w:lang w:val="en-US"/>
        </w:rPr>
        <w:t xml:space="preserve">Legislative Environment Regulating Charity Activities in Georgia </w:t>
      </w:r>
      <w:r w:rsidRPr="00AC30C4">
        <w:rPr>
          <w:lang w:val="en-US"/>
        </w:rPr>
        <w:t>(Tbilisi: Civil Society Institute, 2007), 8.</w:t>
      </w:r>
    </w:p>
  </w:footnote>
  <w:footnote w:id="50">
    <w:p w:rsidR="00D07B8E" w:rsidRPr="00AC30C4" w:rsidRDefault="00D07B8E" w:rsidP="00013035">
      <w:pPr>
        <w:pStyle w:val="FootnoteText"/>
        <w:rPr>
          <w:lang w:val="en-US"/>
        </w:rPr>
      </w:pPr>
      <w:r w:rsidRPr="00AC30C4">
        <w:rPr>
          <w:rStyle w:val="FootnoteReference"/>
        </w:rPr>
        <w:footnoteRef/>
      </w:r>
      <w:r w:rsidRPr="00AC30C4">
        <w:rPr>
          <w:lang w:val="en-US"/>
        </w:rPr>
        <w:t xml:space="preserve"> Interview of Ketevan Vashakidze, Country Director, Eurasia Partnership Foundation, with the author, Tbilisi, 24 December 2009.</w:t>
      </w:r>
    </w:p>
  </w:footnote>
  <w:footnote w:id="51">
    <w:p w:rsidR="00D07B8E" w:rsidRPr="00AC30C4" w:rsidRDefault="00D07B8E">
      <w:pPr>
        <w:pStyle w:val="FootnoteText"/>
        <w:rPr>
          <w:lang w:val="en-US"/>
        </w:rPr>
      </w:pPr>
      <w:r w:rsidRPr="00AC30C4">
        <w:rPr>
          <w:rStyle w:val="FootnoteReference"/>
        </w:rPr>
        <w:footnoteRef/>
      </w:r>
      <w:r w:rsidRPr="00AC30C4">
        <w:rPr>
          <w:lang w:val="en-US"/>
        </w:rPr>
        <w:t xml:space="preserve"> Interview of Tinatin Bolkvadze, Human Rights and Rule of Law Programme coordinator, Open Society – Georgia Foundation, with the author, Tbilisi, 28 December 2009.</w:t>
      </w:r>
    </w:p>
  </w:footnote>
  <w:footnote w:id="52">
    <w:p w:rsidR="00EA7289" w:rsidRPr="00AC30C4" w:rsidRDefault="00EA7289">
      <w:pPr>
        <w:pStyle w:val="FootnoteText"/>
        <w:rPr>
          <w:lang w:val="en-US"/>
        </w:rPr>
      </w:pPr>
      <w:r w:rsidRPr="00AC30C4">
        <w:rPr>
          <w:rStyle w:val="FootnoteReference"/>
        </w:rPr>
        <w:footnoteRef/>
      </w:r>
      <w:r w:rsidRPr="00AC30C4">
        <w:t xml:space="preserve"> </w:t>
      </w:r>
      <w:r w:rsidRPr="00AC30C4">
        <w:rPr>
          <w:lang w:val="en-US"/>
        </w:rPr>
        <w:t xml:space="preserve">Centre for Training and Consultancy, </w:t>
      </w:r>
      <w:r w:rsidRPr="00AC30C4">
        <w:rPr>
          <w:i/>
          <w:lang w:val="en-US"/>
        </w:rPr>
        <w:t>An Assessment of Georgian Civil Society (2010),</w:t>
      </w:r>
      <w:r w:rsidRPr="00AC30C4">
        <w:rPr>
          <w:lang w:val="en-US"/>
        </w:rPr>
        <w:t xml:space="preserve"> CIVICUS Civil Society Index Shortened Assessment Tool Report for Georgia, 33.</w:t>
      </w:r>
    </w:p>
  </w:footnote>
  <w:footnote w:id="53">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szCs w:val="24"/>
          <w:lang w:val="en-US"/>
        </w:rPr>
        <w:t xml:space="preserve">Centre for Training and Consultancy, </w:t>
      </w:r>
      <w:r w:rsidRPr="00AC30C4">
        <w:rPr>
          <w:i/>
          <w:szCs w:val="24"/>
          <w:lang w:val="en-US"/>
        </w:rPr>
        <w:t xml:space="preserve">An Assessment of </w:t>
      </w:r>
      <w:r w:rsidRPr="00AC30C4">
        <w:rPr>
          <w:rStyle w:val="il"/>
          <w:i/>
          <w:szCs w:val="24"/>
          <w:lang w:val="en-US"/>
        </w:rPr>
        <w:t>Georgian</w:t>
      </w:r>
      <w:r w:rsidR="00EA7289" w:rsidRPr="00AC30C4">
        <w:rPr>
          <w:i/>
          <w:szCs w:val="24"/>
          <w:lang w:val="en-US"/>
        </w:rPr>
        <w:t xml:space="preserve"> Civil Society (</w:t>
      </w:r>
      <w:r w:rsidRPr="00AC30C4">
        <w:rPr>
          <w:i/>
          <w:szCs w:val="24"/>
          <w:lang w:val="en-US"/>
        </w:rPr>
        <w:t>2</w:t>
      </w:r>
      <w:r w:rsidR="00EA7289" w:rsidRPr="00AC30C4">
        <w:rPr>
          <w:i/>
          <w:szCs w:val="24"/>
          <w:lang w:val="en-US"/>
        </w:rPr>
        <w:t>0</w:t>
      </w:r>
      <w:r w:rsidRPr="00AC30C4">
        <w:rPr>
          <w:i/>
          <w:szCs w:val="24"/>
          <w:lang w:val="en-US"/>
        </w:rPr>
        <w:t>05),</w:t>
      </w:r>
      <w:r w:rsidRPr="00AC30C4">
        <w:rPr>
          <w:szCs w:val="24"/>
          <w:lang w:val="en-US"/>
        </w:rPr>
        <w:t xml:space="preserve"> CIVICUS Civil Society Index Shortened Assessment Tool Report for Georgia, 26, 49-50.</w:t>
      </w:r>
    </w:p>
  </w:footnote>
  <w:footnote w:id="54">
    <w:p w:rsidR="00D07B8E" w:rsidRPr="00AC30C4" w:rsidRDefault="00D07B8E">
      <w:pPr>
        <w:pStyle w:val="FootnoteText"/>
        <w:rPr>
          <w:lang w:val="en-US"/>
        </w:rPr>
      </w:pPr>
      <w:r w:rsidRPr="00AC30C4">
        <w:rPr>
          <w:rStyle w:val="FootnoteReference"/>
        </w:rPr>
        <w:footnoteRef/>
      </w:r>
      <w:r w:rsidRPr="00AC30C4">
        <w:rPr>
          <w:lang w:val="en-US"/>
        </w:rPr>
        <w:t xml:space="preserve"> Interview of Tinatin Bolkvadze with the author.</w:t>
      </w:r>
    </w:p>
  </w:footnote>
  <w:footnote w:id="55">
    <w:p w:rsidR="00D07B8E" w:rsidRPr="00AC30C4" w:rsidRDefault="00D07B8E" w:rsidP="005103A7">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49-50.</w:t>
      </w:r>
    </w:p>
  </w:footnote>
  <w:footnote w:id="56">
    <w:p w:rsidR="00D07B8E" w:rsidRPr="00AC30C4" w:rsidRDefault="00D07B8E">
      <w:pPr>
        <w:pStyle w:val="FootnoteText"/>
        <w:rPr>
          <w:lang w:val="en-US"/>
        </w:rPr>
      </w:pPr>
      <w:r w:rsidRPr="00AC30C4">
        <w:rPr>
          <w:rStyle w:val="FootnoteReference"/>
        </w:rPr>
        <w:footnoteRef/>
      </w:r>
      <w:r w:rsidRPr="00AC30C4">
        <w:rPr>
          <w:lang w:val="en-US"/>
        </w:rPr>
        <w:t xml:space="preserve"> </w:t>
      </w:r>
      <w:hyperlink r:id="rId4" w:history="1">
        <w:r w:rsidRPr="00AC30C4">
          <w:rPr>
            <w:rStyle w:val="Hyperlink"/>
            <w:lang w:val="en-US"/>
          </w:rPr>
          <w:t>http://www.civil.ge/geo/article.php?id=7707</w:t>
        </w:r>
      </w:hyperlink>
    </w:p>
  </w:footnote>
  <w:footnote w:id="57">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29.</w:t>
      </w:r>
    </w:p>
  </w:footnote>
  <w:footnote w:id="58">
    <w:p w:rsidR="00D07B8E" w:rsidRPr="00AC30C4" w:rsidRDefault="00D07B8E" w:rsidP="00E7765A">
      <w:pPr>
        <w:pStyle w:val="FootnoteText"/>
        <w:rPr>
          <w:lang w:val="en-US"/>
        </w:rPr>
      </w:pPr>
      <w:r w:rsidRPr="00AC30C4">
        <w:rPr>
          <w:rStyle w:val="FootnoteReference"/>
        </w:rPr>
        <w:footnoteRef/>
      </w:r>
      <w:r w:rsidRPr="00AC30C4">
        <w:rPr>
          <w:lang w:val="en-US"/>
        </w:rPr>
        <w:t xml:space="preserve"> Interviews of Ketevan Vashakidze and Tinatin Bolkvadze with the author.</w:t>
      </w:r>
    </w:p>
  </w:footnote>
  <w:footnote w:id="59">
    <w:p w:rsidR="00D07B8E" w:rsidRPr="00AC30C4" w:rsidRDefault="00D07B8E">
      <w:pPr>
        <w:pStyle w:val="FootnoteText"/>
        <w:rPr>
          <w:lang w:val="en-US"/>
        </w:rPr>
      </w:pPr>
      <w:r w:rsidRPr="00AC30C4">
        <w:rPr>
          <w:rStyle w:val="FootnoteReference"/>
        </w:rPr>
        <w:footnoteRef/>
      </w:r>
      <w:r w:rsidRPr="00AC30C4">
        <w:rPr>
          <w:lang w:val="en-US"/>
        </w:rPr>
        <w:t xml:space="preserve"> USAID, </w:t>
      </w:r>
      <w:r w:rsidRPr="00AC30C4">
        <w:rPr>
          <w:i/>
          <w:lang w:val="en-US"/>
        </w:rPr>
        <w:t>2008 NGO Sustainability Index for Central and Eastern Europe and Eurasia</w:t>
      </w:r>
      <w:r w:rsidRPr="00AC30C4">
        <w:rPr>
          <w:lang w:val="en-US"/>
        </w:rPr>
        <w:t>, 108.</w:t>
      </w:r>
    </w:p>
  </w:footnote>
  <w:footnote w:id="60">
    <w:p w:rsidR="00D07B8E" w:rsidRPr="00AC30C4" w:rsidRDefault="00D07B8E">
      <w:pPr>
        <w:pStyle w:val="FootnoteText"/>
        <w:rPr>
          <w:lang w:val="en-US"/>
        </w:rPr>
      </w:pPr>
      <w:r w:rsidRPr="00AC30C4">
        <w:rPr>
          <w:rStyle w:val="FootnoteReference"/>
        </w:rPr>
        <w:footnoteRef/>
      </w:r>
      <w:r w:rsidRPr="00AC30C4">
        <w:rPr>
          <w:lang w:val="en-US"/>
        </w:rPr>
        <w:t xml:space="preserve"> USAID, </w:t>
      </w:r>
      <w:r w:rsidRPr="00AC30C4">
        <w:rPr>
          <w:i/>
          <w:lang w:val="en-US"/>
        </w:rPr>
        <w:t xml:space="preserve">2007 NGO Sustainability Index for Central and Eastern Europe and Eurasia, </w:t>
      </w:r>
      <w:r w:rsidRPr="00AC30C4">
        <w:rPr>
          <w:lang w:val="en-US"/>
        </w:rPr>
        <w:t>11</w:t>
      </w:r>
      <w:r w:rsidRPr="00AC30C4">
        <w:rPr>
          <w:vertAlign w:val="superscript"/>
          <w:lang w:val="en-US"/>
        </w:rPr>
        <w:t>th</w:t>
      </w:r>
      <w:r w:rsidRPr="00AC30C4">
        <w:rPr>
          <w:lang w:val="en-US"/>
        </w:rPr>
        <w:t xml:space="preserve"> Edition – June 2008, 106.</w:t>
      </w:r>
    </w:p>
  </w:footnote>
  <w:footnote w:id="61">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60.</w:t>
      </w:r>
    </w:p>
  </w:footnote>
  <w:footnote w:id="62">
    <w:p w:rsidR="00D07B8E" w:rsidRPr="00AC30C4" w:rsidRDefault="00D07B8E">
      <w:pPr>
        <w:pStyle w:val="FootnoteText"/>
        <w:rPr>
          <w:lang w:val="en-US"/>
        </w:rPr>
      </w:pPr>
      <w:r w:rsidRPr="00AC30C4">
        <w:rPr>
          <w:rStyle w:val="FootnoteReference"/>
        </w:rPr>
        <w:footnoteRef/>
      </w:r>
      <w:r w:rsidRPr="00AC30C4">
        <w:rPr>
          <w:lang w:val="en-US"/>
        </w:rPr>
        <w:t xml:space="preserve"> USAID, </w:t>
      </w:r>
      <w:r w:rsidRPr="00AC30C4">
        <w:rPr>
          <w:i/>
          <w:lang w:val="en-US"/>
        </w:rPr>
        <w:t>2008 NGO Sustainability Index for Central and Eastern Europe and Eurasia</w:t>
      </w:r>
      <w:r w:rsidRPr="00AC30C4">
        <w:rPr>
          <w:lang w:val="en-US"/>
        </w:rPr>
        <w:t>, 110.</w:t>
      </w:r>
    </w:p>
  </w:footnote>
  <w:footnote w:id="63">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lang w:val="en-GB"/>
        </w:rPr>
        <w:t xml:space="preserve">Freedom House, </w:t>
      </w:r>
      <w:r w:rsidRPr="00AC30C4">
        <w:rPr>
          <w:i/>
          <w:lang w:val="en-GB"/>
        </w:rPr>
        <w:t>Nations in Transit: Georgia (2008).</w:t>
      </w:r>
    </w:p>
  </w:footnote>
  <w:footnote w:id="64">
    <w:p w:rsidR="00D07B8E" w:rsidRPr="00AC30C4" w:rsidRDefault="00D07B8E" w:rsidP="00C67FB4">
      <w:pPr>
        <w:pStyle w:val="FootnoteText"/>
        <w:rPr>
          <w:lang w:val="en-US"/>
        </w:rPr>
      </w:pPr>
      <w:r w:rsidRPr="00AC30C4">
        <w:rPr>
          <w:rStyle w:val="FootnoteReference"/>
        </w:rPr>
        <w:footnoteRef/>
      </w:r>
      <w:r w:rsidRPr="00AC30C4">
        <w:rPr>
          <w:lang w:val="en-US"/>
        </w:rPr>
        <w:t xml:space="preserve"> Bertelsmann Stiftung, </w:t>
      </w:r>
      <w:r w:rsidRPr="00AC30C4">
        <w:rPr>
          <w:i/>
          <w:lang w:val="en-US"/>
        </w:rPr>
        <w:t>BTI 2008 – Georgia Country Report,</w:t>
      </w:r>
      <w:r w:rsidRPr="00AC30C4">
        <w:rPr>
          <w:lang w:val="en-US"/>
        </w:rPr>
        <w:t xml:space="preserve"> Gutersloh: Bertelsmann Stiftung, 2007, 10, 11.</w:t>
      </w:r>
      <w:r w:rsidRPr="00AC30C4" w:rsidDel="00C67FB4">
        <w:rPr>
          <w:lang w:val="en-US"/>
        </w:rPr>
        <w:t>.</w:t>
      </w:r>
    </w:p>
  </w:footnote>
  <w:footnote w:id="65">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72.</w:t>
      </w:r>
    </w:p>
  </w:footnote>
  <w:footnote w:id="66">
    <w:p w:rsidR="00D07B8E" w:rsidRPr="00AC30C4" w:rsidRDefault="00D07B8E">
      <w:pPr>
        <w:pStyle w:val="FootnoteText"/>
        <w:rPr>
          <w:lang w:val="en-US"/>
        </w:rPr>
      </w:pPr>
      <w:r w:rsidRPr="00AC30C4">
        <w:rPr>
          <w:rStyle w:val="FootnoteReference"/>
        </w:rPr>
        <w:footnoteRef/>
      </w:r>
      <w:r w:rsidRPr="00AC30C4">
        <w:rPr>
          <w:lang w:val="en-US"/>
        </w:rPr>
        <w:t xml:space="preserve"> Ibid., 73.</w:t>
      </w:r>
    </w:p>
  </w:footnote>
  <w:footnote w:id="67">
    <w:p w:rsidR="00D07B8E" w:rsidRPr="00AC30C4" w:rsidRDefault="00D07B8E">
      <w:pPr>
        <w:pStyle w:val="FootnoteText"/>
        <w:rPr>
          <w:lang w:val="en-US"/>
        </w:rPr>
      </w:pPr>
      <w:r w:rsidRPr="00AC30C4">
        <w:rPr>
          <w:rStyle w:val="FootnoteReference"/>
        </w:rPr>
        <w:footnoteRef/>
      </w:r>
      <w:r w:rsidRPr="00AC30C4">
        <w:rPr>
          <w:lang w:val="en-US"/>
        </w:rPr>
        <w:t xml:space="preserve"> USAID, </w:t>
      </w:r>
      <w:r w:rsidRPr="00AC30C4">
        <w:rPr>
          <w:i/>
          <w:lang w:val="en-US"/>
        </w:rPr>
        <w:t xml:space="preserve">2008 NGO Sustainability Index for Central and Eastern Europe and Eurasia, </w:t>
      </w:r>
      <w:r w:rsidRPr="00AC30C4">
        <w:rPr>
          <w:lang w:val="en-US"/>
        </w:rPr>
        <w:t>110.</w:t>
      </w:r>
    </w:p>
  </w:footnote>
  <w:footnote w:id="68">
    <w:p w:rsidR="00D07B8E" w:rsidRPr="00AC30C4" w:rsidRDefault="00D07B8E">
      <w:pPr>
        <w:pStyle w:val="FootnoteText"/>
        <w:rPr>
          <w:lang w:val="en-US"/>
        </w:rPr>
      </w:pPr>
      <w:r w:rsidRPr="00AC30C4">
        <w:rPr>
          <w:rStyle w:val="FootnoteReference"/>
        </w:rPr>
        <w:footnoteRef/>
      </w:r>
      <w:r w:rsidRPr="00AC30C4">
        <w:rPr>
          <w:lang w:val="en-US"/>
        </w:rPr>
        <w:t xml:space="preserve"> Ibid.</w:t>
      </w:r>
    </w:p>
  </w:footnote>
  <w:footnote w:id="69">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lang w:val="en-GB"/>
        </w:rPr>
        <w:t xml:space="preserve">Freedom House, </w:t>
      </w:r>
      <w:r w:rsidRPr="00AC30C4">
        <w:rPr>
          <w:i/>
          <w:lang w:val="en-GB"/>
        </w:rPr>
        <w:t>Nations in Transit: Georgia (2008).</w:t>
      </w:r>
    </w:p>
  </w:footnote>
  <w:footnote w:id="70">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61.</w:t>
      </w:r>
    </w:p>
  </w:footnote>
  <w:footnote w:id="71">
    <w:p w:rsidR="00D07B8E" w:rsidRPr="00AC30C4" w:rsidRDefault="00D07B8E" w:rsidP="005103A7">
      <w:pPr>
        <w:pStyle w:val="FootnoteText"/>
        <w:rPr>
          <w:lang w:val="en-US"/>
        </w:rPr>
      </w:pPr>
      <w:r w:rsidRPr="00AC30C4">
        <w:rPr>
          <w:rStyle w:val="FootnoteReference"/>
        </w:rPr>
        <w:footnoteRef/>
      </w:r>
      <w:r w:rsidRPr="00AC30C4">
        <w:rPr>
          <w:lang w:val="en-US"/>
        </w:rPr>
        <w:t xml:space="preserve"> USAID, </w:t>
      </w:r>
      <w:r w:rsidRPr="00AC30C4">
        <w:rPr>
          <w:i/>
          <w:lang w:val="en-US"/>
        </w:rPr>
        <w:t>2008 NGO Sustainability Index for Central and Eastern Europe and Eurasia</w:t>
      </w:r>
      <w:r w:rsidRPr="00AC30C4">
        <w:rPr>
          <w:lang w:val="en-US"/>
        </w:rPr>
        <w:t>, 110.</w:t>
      </w:r>
    </w:p>
  </w:footnote>
  <w:footnote w:id="72">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62.</w:t>
      </w:r>
    </w:p>
  </w:footnote>
  <w:footnote w:id="73">
    <w:p w:rsidR="00D07B8E" w:rsidRPr="00AC30C4" w:rsidRDefault="00D07B8E">
      <w:pPr>
        <w:pStyle w:val="FootnoteText"/>
        <w:rPr>
          <w:lang w:val="en-US"/>
        </w:rPr>
      </w:pPr>
      <w:r w:rsidRPr="00AC30C4">
        <w:rPr>
          <w:rStyle w:val="FootnoteReference"/>
        </w:rPr>
        <w:footnoteRef/>
      </w:r>
      <w:r w:rsidRPr="00AC30C4">
        <w:rPr>
          <w:lang w:val="en-US"/>
        </w:rPr>
        <w:t xml:space="preserve"> </w:t>
      </w:r>
      <w:r w:rsidRPr="00AC30C4">
        <w:rPr>
          <w:lang w:val="en-GB"/>
        </w:rPr>
        <w:t xml:space="preserve">Freedom House, </w:t>
      </w:r>
      <w:r w:rsidRPr="00AC30C4">
        <w:rPr>
          <w:i/>
          <w:lang w:val="en-GB"/>
        </w:rPr>
        <w:t>Nations in Transit</w:t>
      </w:r>
      <w:r w:rsidRPr="00AC30C4">
        <w:rPr>
          <w:lang w:val="en-GB"/>
        </w:rPr>
        <w:t xml:space="preserve"> 2009, 220.</w:t>
      </w:r>
    </w:p>
  </w:footnote>
  <w:footnote w:id="74">
    <w:p w:rsidR="00D07B8E" w:rsidRPr="00AC30C4" w:rsidRDefault="00D07B8E">
      <w:pPr>
        <w:pStyle w:val="FootnoteText"/>
        <w:rPr>
          <w:lang w:val="en-US"/>
        </w:rPr>
      </w:pPr>
      <w:r w:rsidRPr="00AC30C4">
        <w:rPr>
          <w:rStyle w:val="FootnoteReference"/>
        </w:rPr>
        <w:footnoteRef/>
      </w:r>
      <w:r w:rsidRPr="00AC30C4">
        <w:rPr>
          <w:lang w:val="en-US"/>
        </w:rPr>
        <w:t xml:space="preserve"> Centre for Training and Consultancy, </w:t>
      </w:r>
      <w:r w:rsidRPr="00AC30C4">
        <w:rPr>
          <w:i/>
          <w:lang w:val="en-US"/>
        </w:rPr>
        <w:t>An Assessment of Georgian Civil Society (2005),</w:t>
      </w:r>
      <w:r w:rsidRPr="00AC30C4">
        <w:rPr>
          <w:lang w:val="en-US"/>
        </w:rPr>
        <w:t xml:space="preserve"> CIVICUS Civil Society Index Shortened Assessment Tool Report for Georgia, 45.</w:t>
      </w:r>
    </w:p>
  </w:footnote>
  <w:footnote w:id="75">
    <w:p w:rsidR="00D07B8E" w:rsidRPr="00D16318" w:rsidRDefault="00D07B8E">
      <w:pPr>
        <w:pStyle w:val="FootnoteText"/>
        <w:rPr>
          <w:lang w:val="en-US"/>
        </w:rPr>
      </w:pPr>
      <w:r w:rsidRPr="00AC30C4">
        <w:rPr>
          <w:rStyle w:val="FootnoteReference"/>
        </w:rPr>
        <w:footnoteRef/>
      </w:r>
      <w:r w:rsidRPr="00AC30C4">
        <w:rPr>
          <w:lang w:val="en-US"/>
        </w:rPr>
        <w:t xml:space="preserve"> Bertelsmann Stiftung, </w:t>
      </w:r>
      <w:r w:rsidRPr="00AC30C4">
        <w:rPr>
          <w:i/>
          <w:lang w:val="en-US"/>
        </w:rPr>
        <w:t>BTI 2008 – Georgia Country Report,</w:t>
      </w:r>
      <w:r w:rsidRPr="00AC30C4">
        <w:rPr>
          <w:lang w:val="en-US"/>
        </w:rPr>
        <w:t xml:space="preserve"> 22.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52" w:type="dxa"/>
      <w:tblBorders>
        <w:insideV w:val="single" w:sz="4" w:space="0" w:color="auto"/>
      </w:tblBorders>
      <w:tblLook w:val="04A0"/>
    </w:tblPr>
    <w:tblGrid>
      <w:gridCol w:w="1152"/>
      <w:gridCol w:w="8090"/>
    </w:tblGrid>
    <w:tr w:rsidR="006F7C1F">
      <w:tc>
        <w:tcPr>
          <w:tcW w:w="1152" w:type="dxa"/>
        </w:tcPr>
        <w:p w:rsidR="006F7C1F" w:rsidRDefault="00EF1B1D">
          <w:pPr>
            <w:pStyle w:val="Header"/>
            <w:jc w:val="right"/>
            <w:rPr>
              <w:b/>
            </w:rPr>
          </w:pPr>
          <w:fldSimple w:instr=" PAGE   \* MERGEFORMAT ">
            <w:r w:rsidR="00D34461">
              <w:rPr>
                <w:noProof/>
              </w:rPr>
              <w:t>1</w:t>
            </w:r>
          </w:fldSimple>
        </w:p>
      </w:tc>
      <w:tc>
        <w:tcPr>
          <w:tcW w:w="0" w:type="auto"/>
          <w:noWrap/>
        </w:tcPr>
        <w:p w:rsidR="006F7C1F" w:rsidRDefault="006F7C1F" w:rsidP="006F7C1F">
          <w:pPr>
            <w:pStyle w:val="Header"/>
            <w:rPr>
              <w:sz w:val="20"/>
            </w:rPr>
          </w:pPr>
          <w:r>
            <w:rPr>
              <w:sz w:val="20"/>
            </w:rPr>
            <w:t>Georgia National Integrity System (NIS) Assessment, Transparency International Georgia</w:t>
          </w:r>
        </w:p>
        <w:p w:rsidR="006F7C1F" w:rsidRDefault="006F7C1F" w:rsidP="006F7C1F">
          <w:pPr>
            <w:pStyle w:val="Header"/>
            <w:rPr>
              <w:b/>
            </w:rPr>
          </w:pPr>
          <w:r>
            <w:rPr>
              <w:sz w:val="20"/>
            </w:rPr>
            <w:t xml:space="preserve">DRAFT FOR PUBLIC COMMENT, </w:t>
          </w:r>
          <w:r>
            <w:rPr>
              <w:i/>
              <w:sz w:val="20"/>
            </w:rPr>
            <w:t>30 May 2011</w:t>
          </w:r>
        </w:p>
      </w:tc>
    </w:tr>
  </w:tbl>
  <w:p w:rsidR="006F7C1F" w:rsidRDefault="006F7C1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157C3"/>
    <w:multiLevelType w:val="hybridMultilevel"/>
    <w:tmpl w:val="422E7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14067C"/>
    <w:multiLevelType w:val="hybridMultilevel"/>
    <w:tmpl w:val="DC6246F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Time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Time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Time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D382C05"/>
    <w:multiLevelType w:val="hybridMultilevel"/>
    <w:tmpl w:val="F5C08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FD4B1E"/>
    <w:rsid w:val="00000CE5"/>
    <w:rsid w:val="00001DAA"/>
    <w:rsid w:val="00003184"/>
    <w:rsid w:val="00004488"/>
    <w:rsid w:val="000056B1"/>
    <w:rsid w:val="00010513"/>
    <w:rsid w:val="00013035"/>
    <w:rsid w:val="00013449"/>
    <w:rsid w:val="00013A05"/>
    <w:rsid w:val="00024C69"/>
    <w:rsid w:val="00025050"/>
    <w:rsid w:val="00025272"/>
    <w:rsid w:val="000255EC"/>
    <w:rsid w:val="00032BB6"/>
    <w:rsid w:val="00033729"/>
    <w:rsid w:val="00034A3D"/>
    <w:rsid w:val="00052059"/>
    <w:rsid w:val="00072175"/>
    <w:rsid w:val="0007363A"/>
    <w:rsid w:val="00073ABA"/>
    <w:rsid w:val="0007629E"/>
    <w:rsid w:val="00094B52"/>
    <w:rsid w:val="000C6C31"/>
    <w:rsid w:val="001156C1"/>
    <w:rsid w:val="001173C8"/>
    <w:rsid w:val="00153D4B"/>
    <w:rsid w:val="001578C2"/>
    <w:rsid w:val="001578F5"/>
    <w:rsid w:val="00161B3E"/>
    <w:rsid w:val="001726D3"/>
    <w:rsid w:val="001A2238"/>
    <w:rsid w:val="001A3CB1"/>
    <w:rsid w:val="001A4D9D"/>
    <w:rsid w:val="001C2366"/>
    <w:rsid w:val="001D4C55"/>
    <w:rsid w:val="00207A18"/>
    <w:rsid w:val="00213EDB"/>
    <w:rsid w:val="0021406F"/>
    <w:rsid w:val="00215C76"/>
    <w:rsid w:val="00216700"/>
    <w:rsid w:val="002212D8"/>
    <w:rsid w:val="00231328"/>
    <w:rsid w:val="0025453F"/>
    <w:rsid w:val="00263832"/>
    <w:rsid w:val="00287A1E"/>
    <w:rsid w:val="002C4197"/>
    <w:rsid w:val="002D6F7E"/>
    <w:rsid w:val="002D75F9"/>
    <w:rsid w:val="002E2FEF"/>
    <w:rsid w:val="002E7AED"/>
    <w:rsid w:val="002F7B68"/>
    <w:rsid w:val="00314C20"/>
    <w:rsid w:val="00316F8B"/>
    <w:rsid w:val="0033531E"/>
    <w:rsid w:val="003568E4"/>
    <w:rsid w:val="003C0B6A"/>
    <w:rsid w:val="003C3398"/>
    <w:rsid w:val="00407DB0"/>
    <w:rsid w:val="00422A29"/>
    <w:rsid w:val="004271CA"/>
    <w:rsid w:val="00430ACC"/>
    <w:rsid w:val="00440EDD"/>
    <w:rsid w:val="00445D64"/>
    <w:rsid w:val="00451494"/>
    <w:rsid w:val="004976D0"/>
    <w:rsid w:val="004A26AE"/>
    <w:rsid w:val="004A4973"/>
    <w:rsid w:val="004A64D3"/>
    <w:rsid w:val="004B19AC"/>
    <w:rsid w:val="004B2CC4"/>
    <w:rsid w:val="004B4C64"/>
    <w:rsid w:val="004B6AF4"/>
    <w:rsid w:val="004C6276"/>
    <w:rsid w:val="004D1546"/>
    <w:rsid w:val="00505176"/>
    <w:rsid w:val="005103A7"/>
    <w:rsid w:val="0051684D"/>
    <w:rsid w:val="00516A1E"/>
    <w:rsid w:val="005171DB"/>
    <w:rsid w:val="00521D54"/>
    <w:rsid w:val="00523066"/>
    <w:rsid w:val="0053342C"/>
    <w:rsid w:val="005376D8"/>
    <w:rsid w:val="00537B9F"/>
    <w:rsid w:val="00540DDF"/>
    <w:rsid w:val="005458E2"/>
    <w:rsid w:val="00545F0B"/>
    <w:rsid w:val="00546730"/>
    <w:rsid w:val="00551DF9"/>
    <w:rsid w:val="0055768E"/>
    <w:rsid w:val="00564159"/>
    <w:rsid w:val="00564781"/>
    <w:rsid w:val="00596640"/>
    <w:rsid w:val="005B0810"/>
    <w:rsid w:val="005B46D3"/>
    <w:rsid w:val="005E75AE"/>
    <w:rsid w:val="005F6AC1"/>
    <w:rsid w:val="00600F03"/>
    <w:rsid w:val="00621ACF"/>
    <w:rsid w:val="00641E35"/>
    <w:rsid w:val="0064413A"/>
    <w:rsid w:val="00651E9C"/>
    <w:rsid w:val="00655320"/>
    <w:rsid w:val="006579D2"/>
    <w:rsid w:val="0066442F"/>
    <w:rsid w:val="00670B6E"/>
    <w:rsid w:val="006A34F9"/>
    <w:rsid w:val="006B0E28"/>
    <w:rsid w:val="006B1594"/>
    <w:rsid w:val="006B4606"/>
    <w:rsid w:val="006B4C67"/>
    <w:rsid w:val="006B6571"/>
    <w:rsid w:val="006C0953"/>
    <w:rsid w:val="006E5F43"/>
    <w:rsid w:val="006F406D"/>
    <w:rsid w:val="006F6F45"/>
    <w:rsid w:val="006F7C1F"/>
    <w:rsid w:val="0070775B"/>
    <w:rsid w:val="00707DB0"/>
    <w:rsid w:val="007227A8"/>
    <w:rsid w:val="00732039"/>
    <w:rsid w:val="00740093"/>
    <w:rsid w:val="00751BB5"/>
    <w:rsid w:val="007551BB"/>
    <w:rsid w:val="00757253"/>
    <w:rsid w:val="00760BA7"/>
    <w:rsid w:val="007723E3"/>
    <w:rsid w:val="007768D9"/>
    <w:rsid w:val="00781FA6"/>
    <w:rsid w:val="00794B43"/>
    <w:rsid w:val="007B2F6B"/>
    <w:rsid w:val="007B4230"/>
    <w:rsid w:val="007B5193"/>
    <w:rsid w:val="007C4543"/>
    <w:rsid w:val="007E5558"/>
    <w:rsid w:val="007F7932"/>
    <w:rsid w:val="008101BE"/>
    <w:rsid w:val="008261B8"/>
    <w:rsid w:val="00847D28"/>
    <w:rsid w:val="00855023"/>
    <w:rsid w:val="00882461"/>
    <w:rsid w:val="00884D61"/>
    <w:rsid w:val="008B2D61"/>
    <w:rsid w:val="008C17ED"/>
    <w:rsid w:val="008C4C45"/>
    <w:rsid w:val="008C6576"/>
    <w:rsid w:val="0090228F"/>
    <w:rsid w:val="00903652"/>
    <w:rsid w:val="009114D4"/>
    <w:rsid w:val="00912CA7"/>
    <w:rsid w:val="009144C3"/>
    <w:rsid w:val="00960D56"/>
    <w:rsid w:val="00967A60"/>
    <w:rsid w:val="00972B5E"/>
    <w:rsid w:val="009774C2"/>
    <w:rsid w:val="00996606"/>
    <w:rsid w:val="009A4CAA"/>
    <w:rsid w:val="009D7680"/>
    <w:rsid w:val="00A079B5"/>
    <w:rsid w:val="00A209AB"/>
    <w:rsid w:val="00A22F15"/>
    <w:rsid w:val="00A44874"/>
    <w:rsid w:val="00A55901"/>
    <w:rsid w:val="00A62C59"/>
    <w:rsid w:val="00A96DD7"/>
    <w:rsid w:val="00AB2156"/>
    <w:rsid w:val="00AB4EF9"/>
    <w:rsid w:val="00AC0614"/>
    <w:rsid w:val="00AC30C4"/>
    <w:rsid w:val="00AC4CFC"/>
    <w:rsid w:val="00AE6965"/>
    <w:rsid w:val="00B101ED"/>
    <w:rsid w:val="00B1129C"/>
    <w:rsid w:val="00B1221B"/>
    <w:rsid w:val="00B14968"/>
    <w:rsid w:val="00B324E3"/>
    <w:rsid w:val="00B350F5"/>
    <w:rsid w:val="00B40190"/>
    <w:rsid w:val="00B637D1"/>
    <w:rsid w:val="00B66A93"/>
    <w:rsid w:val="00B730F9"/>
    <w:rsid w:val="00BA618C"/>
    <w:rsid w:val="00BB16D0"/>
    <w:rsid w:val="00BB1FDC"/>
    <w:rsid w:val="00BC5A7B"/>
    <w:rsid w:val="00BD12B8"/>
    <w:rsid w:val="00BD5D4D"/>
    <w:rsid w:val="00BF3C0A"/>
    <w:rsid w:val="00C01E37"/>
    <w:rsid w:val="00C026EA"/>
    <w:rsid w:val="00C42943"/>
    <w:rsid w:val="00C67FB4"/>
    <w:rsid w:val="00C740EE"/>
    <w:rsid w:val="00C85351"/>
    <w:rsid w:val="00CA40F0"/>
    <w:rsid w:val="00CB1912"/>
    <w:rsid w:val="00CD6F0C"/>
    <w:rsid w:val="00CE2A42"/>
    <w:rsid w:val="00D02092"/>
    <w:rsid w:val="00D07B8E"/>
    <w:rsid w:val="00D07E5F"/>
    <w:rsid w:val="00D30C27"/>
    <w:rsid w:val="00D34461"/>
    <w:rsid w:val="00D42F5A"/>
    <w:rsid w:val="00D47695"/>
    <w:rsid w:val="00D72C2A"/>
    <w:rsid w:val="00D857D7"/>
    <w:rsid w:val="00D93A09"/>
    <w:rsid w:val="00D95F4E"/>
    <w:rsid w:val="00DA19C6"/>
    <w:rsid w:val="00DA35D5"/>
    <w:rsid w:val="00DA7ED2"/>
    <w:rsid w:val="00DB1C6C"/>
    <w:rsid w:val="00DB799E"/>
    <w:rsid w:val="00DF643B"/>
    <w:rsid w:val="00E04EED"/>
    <w:rsid w:val="00E36052"/>
    <w:rsid w:val="00E51644"/>
    <w:rsid w:val="00E538EC"/>
    <w:rsid w:val="00E6547C"/>
    <w:rsid w:val="00E714D0"/>
    <w:rsid w:val="00E732C3"/>
    <w:rsid w:val="00E76363"/>
    <w:rsid w:val="00E7765A"/>
    <w:rsid w:val="00E8189F"/>
    <w:rsid w:val="00E86412"/>
    <w:rsid w:val="00EA7289"/>
    <w:rsid w:val="00EC0B20"/>
    <w:rsid w:val="00EE37D1"/>
    <w:rsid w:val="00EE5EBE"/>
    <w:rsid w:val="00EF1B1D"/>
    <w:rsid w:val="00F15F00"/>
    <w:rsid w:val="00F2063F"/>
    <w:rsid w:val="00F20B99"/>
    <w:rsid w:val="00F50626"/>
    <w:rsid w:val="00F55B17"/>
    <w:rsid w:val="00F7476D"/>
    <w:rsid w:val="00F9661A"/>
    <w:rsid w:val="00FA7068"/>
    <w:rsid w:val="00FC5632"/>
    <w:rsid w:val="00FC697F"/>
    <w:rsid w:val="00FD292A"/>
    <w:rsid w:val="00FD3224"/>
    <w:rsid w:val="00FD4B1E"/>
    <w:rsid w:val="00FE12D5"/>
    <w:rsid w:val="00FE4D52"/>
    <w:rsid w:val="00FE5526"/>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30F9"/>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000598"/>
    <w:rPr>
      <w:rFonts w:ascii="Tahoma" w:hAnsi="Tahoma" w:cs="Tahoma"/>
      <w:sz w:val="16"/>
      <w:szCs w:val="16"/>
    </w:rPr>
  </w:style>
  <w:style w:type="character" w:customStyle="1" w:styleId="BalloonTextChar">
    <w:name w:val="Balloon Text Char"/>
    <w:basedOn w:val="DefaultParagraphFont"/>
    <w:link w:val="BalloonText"/>
    <w:uiPriority w:val="99"/>
    <w:semiHidden/>
    <w:rsid w:val="006E42E2"/>
    <w:rPr>
      <w:rFonts w:ascii="Lucida Grande" w:hAnsi="Lucida Grande"/>
      <w:sz w:val="18"/>
      <w:szCs w:val="18"/>
    </w:rPr>
  </w:style>
  <w:style w:type="character" w:customStyle="1" w:styleId="BalloonTextChar2">
    <w:name w:val="Balloon Text Char2"/>
    <w:basedOn w:val="DefaultParagraphFont"/>
    <w:link w:val="BalloonText"/>
    <w:uiPriority w:val="99"/>
    <w:semiHidden/>
    <w:rsid w:val="006E42E2"/>
    <w:rPr>
      <w:rFonts w:ascii="Lucida Grande" w:hAnsi="Lucida Grande"/>
      <w:sz w:val="18"/>
      <w:szCs w:val="18"/>
    </w:rPr>
  </w:style>
  <w:style w:type="character" w:customStyle="1" w:styleId="BalloonTextChar1">
    <w:name w:val="Balloon Text Char1"/>
    <w:basedOn w:val="DefaultParagraphFont"/>
    <w:link w:val="BalloonText"/>
    <w:uiPriority w:val="99"/>
    <w:semiHidden/>
    <w:rsid w:val="003E607F"/>
    <w:rPr>
      <w:rFonts w:ascii="Lucida Grande" w:hAnsi="Lucida Grande"/>
      <w:sz w:val="18"/>
      <w:szCs w:val="18"/>
    </w:rPr>
  </w:style>
  <w:style w:type="character" w:styleId="CommentReference">
    <w:name w:val="annotation reference"/>
    <w:basedOn w:val="DefaultParagraphFont"/>
    <w:semiHidden/>
    <w:rsid w:val="00FD4B1E"/>
    <w:rPr>
      <w:sz w:val="16"/>
      <w:szCs w:val="16"/>
    </w:rPr>
  </w:style>
  <w:style w:type="paragraph" w:styleId="FootnoteText">
    <w:name w:val="footnote text"/>
    <w:basedOn w:val="Normal"/>
    <w:link w:val="FootnoteTextChar"/>
    <w:semiHidden/>
    <w:rsid w:val="00B553A6"/>
    <w:rPr>
      <w:sz w:val="20"/>
      <w:szCs w:val="20"/>
    </w:rPr>
  </w:style>
  <w:style w:type="character" w:styleId="FootnoteReference">
    <w:name w:val="footnote reference"/>
    <w:basedOn w:val="DefaultParagraphFont"/>
    <w:semiHidden/>
    <w:rsid w:val="00B553A6"/>
    <w:rPr>
      <w:vertAlign w:val="superscript"/>
    </w:rPr>
  </w:style>
  <w:style w:type="character" w:styleId="Hyperlink">
    <w:name w:val="Hyperlink"/>
    <w:basedOn w:val="DefaultParagraphFont"/>
    <w:rsid w:val="00B553A6"/>
    <w:rPr>
      <w:color w:val="0000FF"/>
      <w:u w:val="single"/>
    </w:rPr>
  </w:style>
  <w:style w:type="table" w:styleId="TableGrid">
    <w:name w:val="Table Grid"/>
    <w:basedOn w:val="TableNormal"/>
    <w:rsid w:val="006F4A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semiHidden/>
    <w:rsid w:val="00BE2BDF"/>
    <w:rPr>
      <w:sz w:val="20"/>
      <w:szCs w:val="20"/>
    </w:rPr>
  </w:style>
  <w:style w:type="paragraph" w:styleId="CommentSubject">
    <w:name w:val="annotation subject"/>
    <w:basedOn w:val="CommentText"/>
    <w:next w:val="CommentText"/>
    <w:semiHidden/>
    <w:rsid w:val="00BE2BDF"/>
    <w:rPr>
      <w:b/>
      <w:bCs/>
    </w:rPr>
  </w:style>
  <w:style w:type="character" w:styleId="Strong">
    <w:name w:val="Strong"/>
    <w:basedOn w:val="DefaultParagraphFont"/>
    <w:qFormat/>
    <w:rsid w:val="007F76BB"/>
    <w:rPr>
      <w:b/>
      <w:bCs/>
    </w:rPr>
  </w:style>
  <w:style w:type="paragraph" w:styleId="Revision">
    <w:name w:val="Revision"/>
    <w:hidden/>
    <w:uiPriority w:val="71"/>
    <w:rsid w:val="00EC1FC5"/>
    <w:rPr>
      <w:sz w:val="24"/>
      <w:szCs w:val="24"/>
      <w:lang w:val="ru-RU" w:eastAsia="ru-RU"/>
    </w:rPr>
  </w:style>
  <w:style w:type="character" w:customStyle="1" w:styleId="FootnoteTextChar">
    <w:name w:val="Footnote Text Char"/>
    <w:basedOn w:val="DefaultParagraphFont"/>
    <w:link w:val="FootnoteText"/>
    <w:semiHidden/>
    <w:rsid w:val="0016109E"/>
    <w:rPr>
      <w:lang w:val="ru-RU" w:eastAsia="ru-RU"/>
    </w:rPr>
  </w:style>
  <w:style w:type="paragraph" w:styleId="Header">
    <w:name w:val="header"/>
    <w:basedOn w:val="Normal"/>
    <w:link w:val="HeaderChar"/>
    <w:uiPriority w:val="99"/>
    <w:rsid w:val="00412CEE"/>
    <w:pPr>
      <w:tabs>
        <w:tab w:val="center" w:pos="4513"/>
        <w:tab w:val="right" w:pos="9026"/>
      </w:tabs>
    </w:pPr>
  </w:style>
  <w:style w:type="character" w:customStyle="1" w:styleId="HeaderChar">
    <w:name w:val="Header Char"/>
    <w:basedOn w:val="DefaultParagraphFont"/>
    <w:link w:val="Header"/>
    <w:uiPriority w:val="99"/>
    <w:rsid w:val="00412CEE"/>
    <w:rPr>
      <w:sz w:val="24"/>
      <w:szCs w:val="24"/>
      <w:lang w:val="ru-RU" w:eastAsia="ru-RU"/>
    </w:rPr>
  </w:style>
  <w:style w:type="paragraph" w:styleId="Footer">
    <w:name w:val="footer"/>
    <w:basedOn w:val="Normal"/>
    <w:link w:val="FooterChar"/>
    <w:uiPriority w:val="99"/>
    <w:rsid w:val="00412CEE"/>
    <w:pPr>
      <w:tabs>
        <w:tab w:val="center" w:pos="4513"/>
        <w:tab w:val="right" w:pos="9026"/>
      </w:tabs>
    </w:pPr>
  </w:style>
  <w:style w:type="character" w:customStyle="1" w:styleId="FooterChar">
    <w:name w:val="Footer Char"/>
    <w:basedOn w:val="DefaultParagraphFont"/>
    <w:link w:val="Footer"/>
    <w:uiPriority w:val="99"/>
    <w:rsid w:val="00412CEE"/>
    <w:rPr>
      <w:sz w:val="24"/>
      <w:szCs w:val="24"/>
      <w:lang w:val="ru-RU" w:eastAsia="ru-RU"/>
    </w:rPr>
  </w:style>
  <w:style w:type="character" w:styleId="FollowedHyperlink">
    <w:name w:val="FollowedHyperlink"/>
    <w:basedOn w:val="DefaultParagraphFont"/>
    <w:rsid w:val="00672C7B"/>
    <w:rPr>
      <w:color w:val="800080"/>
      <w:u w:val="single"/>
    </w:rPr>
  </w:style>
  <w:style w:type="character" w:customStyle="1" w:styleId="il">
    <w:name w:val="il"/>
    <w:basedOn w:val="DefaultParagraphFont"/>
    <w:rsid w:val="00025050"/>
  </w:style>
  <w:style w:type="character" w:customStyle="1" w:styleId="apple-style-span">
    <w:name w:val="apple-style-span"/>
    <w:basedOn w:val="DefaultParagraphFont"/>
    <w:rsid w:val="009A4CAA"/>
  </w:style>
  <w:style w:type="character" w:customStyle="1" w:styleId="apple-converted-space">
    <w:name w:val="apple-converted-space"/>
    <w:basedOn w:val="DefaultParagraphFont"/>
    <w:rsid w:val="009D7680"/>
  </w:style>
  <w:style w:type="paragraph" w:styleId="ListParagraph">
    <w:name w:val="List Paragraph"/>
    <w:basedOn w:val="Normal"/>
    <w:uiPriority w:val="34"/>
    <w:qFormat/>
    <w:rsid w:val="005B46D3"/>
    <w:pPr>
      <w:ind w:left="720"/>
      <w:contextualSpacing/>
    </w:pPr>
  </w:style>
</w:styles>
</file>

<file path=word/webSettings.xml><?xml version="1.0" encoding="utf-8"?>
<w:webSettings xmlns:r="http://schemas.openxmlformats.org/officeDocument/2006/relationships" xmlns:w="http://schemas.openxmlformats.org/wordprocessingml/2006/main">
  <w:divs>
    <w:div w:id="476072990">
      <w:bodyDiv w:val="1"/>
      <w:marLeft w:val="0"/>
      <w:marRight w:val="0"/>
      <w:marTop w:val="0"/>
      <w:marBottom w:val="0"/>
      <w:divBdr>
        <w:top w:val="none" w:sz="0" w:space="0" w:color="auto"/>
        <w:left w:val="none" w:sz="0" w:space="0" w:color="auto"/>
        <w:bottom w:val="none" w:sz="0" w:space="0" w:color="auto"/>
        <w:right w:val="none" w:sz="0" w:space="0" w:color="auto"/>
      </w:divBdr>
    </w:div>
    <w:div w:id="1890070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ewmi-gpac.org/en/news/1-news/150-2011-04-07-13-24-38" TargetMode="External"/><Relationship Id="rId2" Type="http://schemas.openxmlformats.org/officeDocument/2006/relationships/hyperlink" Target="http://www.freedomhouse.org/template.cfm?page=47&amp;nit=452&amp;year=2008" TargetMode="External"/><Relationship Id="rId1" Type="http://schemas.openxmlformats.org/officeDocument/2006/relationships/hyperlink" Target="http://mof.ge/2328" TargetMode="External"/><Relationship Id="rId4" Type="http://schemas.openxmlformats.org/officeDocument/2006/relationships/hyperlink" Target="http://www.civil.ge/geo/article.php?id=77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E4D10-3FEE-48AF-BCD9-D16288456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4284</Words>
  <Characters>24420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Civil Society</vt:lpstr>
    </vt:vector>
  </TitlesOfParts>
  <Company/>
  <LinksUpToDate>false</LinksUpToDate>
  <CharactersWithSpaces>28647</CharactersWithSpaces>
  <SharedDoc>false</SharedDoc>
  <HLinks>
    <vt:vector size="12" baseType="variant">
      <vt:variant>
        <vt:i4>3997780</vt:i4>
      </vt:variant>
      <vt:variant>
        <vt:i4>3</vt:i4>
      </vt:variant>
      <vt:variant>
        <vt:i4>0</vt:i4>
      </vt:variant>
      <vt:variant>
        <vt:i4>5</vt:i4>
      </vt:variant>
      <vt:variant>
        <vt:lpwstr>http://www.civil.ge/geo/article.php?id=7707</vt:lpwstr>
      </vt:variant>
      <vt:variant>
        <vt:lpwstr/>
      </vt:variant>
      <vt:variant>
        <vt:i4>8192106</vt:i4>
      </vt:variant>
      <vt:variant>
        <vt:i4>0</vt:i4>
      </vt:variant>
      <vt:variant>
        <vt:i4>0</vt:i4>
      </vt:variant>
      <vt:variant>
        <vt:i4>5</vt:i4>
      </vt:variant>
      <vt:variant>
        <vt:lpwstr>http://www.freedomhouse.org/template.cfm?page=47&amp;nit=452&amp;year=2008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Society</dc:title>
  <dc:creator>User</dc:creator>
  <cp:lastModifiedBy>Caitlin Ryan</cp:lastModifiedBy>
  <cp:revision>2</cp:revision>
  <cp:lastPrinted>2010-01-21T19:56:00Z</cp:lastPrinted>
  <dcterms:created xsi:type="dcterms:W3CDTF">2011-05-24T13:13:00Z</dcterms:created>
  <dcterms:modified xsi:type="dcterms:W3CDTF">2011-05-24T13:13:00Z</dcterms:modified>
</cp:coreProperties>
</file>